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DD191" w14:textId="77777777" w:rsidR="003D5B7A" w:rsidRPr="003D5B7A" w:rsidRDefault="003D5B7A" w:rsidP="003D5B7A">
      <w:pPr>
        <w:spacing w:after="0" w:line="288" w:lineRule="auto"/>
        <w:jc w:val="both"/>
        <w:rPr>
          <w:rFonts w:ascii="仿宋_GB2312" w:eastAsia="仿宋_GB2312" w:hAnsi="仿宋_GB2312" w:cs="仿宋_GB2312"/>
          <w:bCs/>
          <w:sz w:val="32"/>
          <w:szCs w:val="32"/>
          <w14:ligatures w14:val="none"/>
        </w:rPr>
      </w:pPr>
      <w:r w:rsidRPr="003D5B7A">
        <w:rPr>
          <w:rFonts w:ascii="黑体" w:eastAsia="黑体" w:hAnsi="黑体" w:cs="黑体"/>
          <w:bCs/>
          <w:sz w:val="32"/>
          <w:szCs w:val="32"/>
          <w14:ligatures w14:val="none"/>
        </w:rPr>
        <w:t>附件</w:t>
      </w:r>
      <w:r w:rsidRPr="003D5B7A">
        <w:rPr>
          <w:rFonts w:ascii="Times New Roman" w:eastAsia="仿宋_GB2312" w:hAnsi="Times New Roman" w:cs="Times New Roman"/>
          <w:bCs/>
          <w:sz w:val="32"/>
          <w:szCs w:val="32"/>
          <w14:ligatures w14:val="none"/>
        </w:rPr>
        <w:t>2</w:t>
      </w:r>
    </w:p>
    <w:p w14:paraId="6E4DA46E" w14:textId="77777777" w:rsidR="003D5B7A" w:rsidRPr="003D5B7A" w:rsidRDefault="003D5B7A" w:rsidP="003D5B7A">
      <w:pPr>
        <w:spacing w:after="0" w:line="600" w:lineRule="exact"/>
        <w:jc w:val="center"/>
        <w:rPr>
          <w:rFonts w:ascii="方正小标宋_GBK" w:eastAsia="方正小标宋_GBK" w:hAnsi="方正小标宋_GBK" w:cs="方正小标宋_GBK"/>
          <w:bCs/>
          <w:sz w:val="44"/>
          <w:szCs w:val="44"/>
          <w14:ligatures w14:val="none"/>
        </w:rPr>
      </w:pPr>
    </w:p>
    <w:p w14:paraId="33A9FA6F" w14:textId="77777777" w:rsidR="003D5B7A" w:rsidRPr="003D5B7A" w:rsidRDefault="003D5B7A" w:rsidP="003D5B7A">
      <w:pPr>
        <w:spacing w:after="0" w:line="600" w:lineRule="exact"/>
        <w:jc w:val="center"/>
        <w:rPr>
          <w:rFonts w:ascii="方正小标宋_GBK" w:eastAsia="方正小标宋_GBK" w:hAnsi="方正小标宋_GBK" w:cs="方正小标宋_GBK"/>
          <w:bCs/>
          <w:sz w:val="44"/>
          <w:szCs w:val="44"/>
          <w14:ligatures w14:val="none"/>
        </w:rPr>
      </w:pPr>
      <w:r w:rsidRPr="003D5B7A">
        <w:rPr>
          <w:rFonts w:ascii="方正小标宋_GBK" w:eastAsia="方正小标宋_GBK" w:hAnsi="方正小标宋_GBK" w:cs="方正小标宋_GBK"/>
          <w:bCs/>
          <w:sz w:val="44"/>
          <w:szCs w:val="44"/>
          <w14:ligatures w14:val="none"/>
        </w:rPr>
        <w:t>《云南省医疗保障局关于建立定点零</w:t>
      </w:r>
    </w:p>
    <w:p w14:paraId="1AF95283" w14:textId="77777777" w:rsidR="003D5B7A" w:rsidRPr="003D5B7A" w:rsidRDefault="003D5B7A" w:rsidP="003D5B7A">
      <w:pPr>
        <w:spacing w:after="0" w:line="600" w:lineRule="exact"/>
        <w:jc w:val="center"/>
        <w:rPr>
          <w:rFonts w:ascii="方正小标宋_GBK" w:eastAsia="方正小标宋_GBK" w:hAnsi="方正小标宋_GBK" w:cs="方正小标宋_GBK"/>
          <w:bCs/>
          <w:sz w:val="44"/>
          <w:szCs w:val="44"/>
          <w14:ligatures w14:val="none"/>
        </w:rPr>
      </w:pPr>
      <w:r w:rsidRPr="003D5B7A">
        <w:rPr>
          <w:rFonts w:ascii="方正小标宋_GBK" w:eastAsia="方正小标宋_GBK" w:hAnsi="方正小标宋_GBK" w:cs="方正小标宋_GBK"/>
          <w:bCs/>
          <w:sz w:val="44"/>
          <w:szCs w:val="44"/>
          <w14:ligatures w14:val="none"/>
        </w:rPr>
        <w:t>售药店职工医保个人账户支付白名单制度的通知（征求意见稿）》起草说明</w:t>
      </w:r>
    </w:p>
    <w:p w14:paraId="69DF2B6D" w14:textId="77777777" w:rsidR="003D5B7A" w:rsidRPr="003D5B7A" w:rsidRDefault="003D5B7A" w:rsidP="003D5B7A">
      <w:pPr>
        <w:spacing w:after="0" w:line="600" w:lineRule="exact"/>
        <w:ind w:firstLineChars="200" w:firstLine="640"/>
        <w:jc w:val="both"/>
        <w:rPr>
          <w:rFonts w:ascii="仿宋_GB2312" w:eastAsia="仿宋_GB2312" w:hAnsi="仿宋_GB2312" w:cs="仿宋_GB2312"/>
          <w:sz w:val="32"/>
          <w:szCs w:val="32"/>
          <w14:ligatures w14:val="none"/>
        </w:rPr>
      </w:pPr>
    </w:p>
    <w:p w14:paraId="3191EB83" w14:textId="77777777" w:rsidR="003D5B7A" w:rsidRPr="003D5B7A" w:rsidRDefault="003D5B7A" w:rsidP="003D5B7A">
      <w:pPr>
        <w:spacing w:after="0" w:line="600" w:lineRule="exact"/>
        <w:ind w:firstLineChars="200" w:firstLine="643"/>
        <w:outlineLvl w:val="1"/>
        <w:rPr>
          <w:rFonts w:ascii="黑体" w:eastAsia="黑体" w:hAnsi="黑体" w:cs="黑体"/>
          <w:sz w:val="32"/>
          <w:szCs w:val="32"/>
          <w14:ligatures w14:val="none"/>
        </w:rPr>
      </w:pPr>
      <w:bookmarkStart w:id="0" w:name="heading_0"/>
      <w:r w:rsidRPr="003D5B7A">
        <w:rPr>
          <w:rFonts w:ascii="黑体" w:eastAsia="黑体" w:hAnsi="黑体" w:cs="黑体"/>
          <w:b/>
          <w:sz w:val="32"/>
          <w:szCs w:val="32"/>
          <w14:ligatures w14:val="none"/>
        </w:rPr>
        <w:t>一、起草背景</w:t>
      </w:r>
      <w:bookmarkEnd w:id="0"/>
      <w:r w:rsidRPr="003D5B7A">
        <w:rPr>
          <w:rFonts w:ascii="黑体" w:eastAsia="黑体" w:hAnsi="黑体" w:cs="黑体"/>
          <w:b/>
          <w:sz w:val="32"/>
          <w:szCs w:val="32"/>
          <w14:ligatures w14:val="none"/>
        </w:rPr>
        <w:t>和过程</w:t>
      </w:r>
    </w:p>
    <w:p w14:paraId="4604BE2E" w14:textId="77777777" w:rsidR="003D5B7A" w:rsidRPr="003D5B7A" w:rsidRDefault="003D5B7A" w:rsidP="003D5B7A">
      <w:pPr>
        <w:spacing w:after="0" w:line="600" w:lineRule="exact"/>
        <w:ind w:firstLineChars="200" w:firstLine="640"/>
        <w:jc w:val="both"/>
        <w:rPr>
          <w:rFonts w:ascii="仿宋_GB2312" w:eastAsia="仿宋_GB2312" w:hAnsi="仿宋_GB2312" w:cs="仿宋_GB2312"/>
          <w:sz w:val="32"/>
          <w:szCs w:val="32"/>
          <w14:ligatures w14:val="none"/>
        </w:rPr>
      </w:pPr>
      <w:r w:rsidRPr="003D5B7A">
        <w:rPr>
          <w:rFonts w:ascii="仿宋_GB2312" w:eastAsia="仿宋_GB2312" w:hAnsi="仿宋_GB2312" w:cs="仿宋_GB2312"/>
          <w:sz w:val="32"/>
          <w:szCs w:val="32"/>
          <w14:ligatures w14:val="none"/>
        </w:rPr>
        <w:t>职工医保个人账户是医保基金重要组成部分。当前定点零售药店经营品类繁杂，存在一定串换商品、超范围刷卡结算等风险。国家医保局坚持个人账户“保基本”定位，要求建立</w:t>
      </w:r>
      <w:r w:rsidRPr="003D5B7A">
        <w:rPr>
          <w:rFonts w:ascii="仿宋_GB2312" w:eastAsia="仿宋_GB2312" w:hAnsi="仿宋_GB2312" w:cs="仿宋_GB2312"/>
          <w:bCs/>
          <w:sz w:val="32"/>
          <w:szCs w:val="32"/>
          <w14:ligatures w14:val="none"/>
        </w:rPr>
        <w:t>正面白名单+负面清单</w:t>
      </w:r>
      <w:r w:rsidRPr="003D5B7A">
        <w:rPr>
          <w:rFonts w:ascii="仿宋_GB2312" w:eastAsia="仿宋_GB2312" w:hAnsi="仿宋_GB2312" w:cs="仿宋_GB2312"/>
          <w:sz w:val="32"/>
          <w:szCs w:val="32"/>
          <w14:ligatures w14:val="none"/>
        </w:rPr>
        <w:t>管理模式，划清可支付、禁止支付边界。为贯彻落实国家医保局办公室、财政部办公厅《关于进一步加强定点零售药店职工基本医疗保险个人账户使用监督管理的通知》（医保办发〔2026〕7号）的相关要求，进一步统一全省执行口径，兼顾基金安全与参保群众购药便利，省医保局在借鉴省外经验做法、听取定点药店、药企、参保群众代表意见诉求的基础上，结合云南实际，起草了本通知。</w:t>
      </w:r>
    </w:p>
    <w:p w14:paraId="3F00D064" w14:textId="77777777" w:rsidR="003D5B7A" w:rsidRPr="003D5B7A" w:rsidRDefault="003D5B7A" w:rsidP="003D5B7A">
      <w:pPr>
        <w:spacing w:after="0" w:line="600" w:lineRule="exact"/>
        <w:ind w:firstLineChars="200" w:firstLine="643"/>
        <w:outlineLvl w:val="1"/>
        <w:rPr>
          <w:rFonts w:ascii="黑体" w:eastAsia="黑体" w:hAnsi="黑体" w:cs="黑体"/>
          <w:sz w:val="32"/>
          <w:szCs w:val="32"/>
          <w14:ligatures w14:val="none"/>
        </w:rPr>
      </w:pPr>
      <w:bookmarkStart w:id="1" w:name="heading_2"/>
      <w:r w:rsidRPr="003D5B7A">
        <w:rPr>
          <w:rFonts w:ascii="黑体" w:eastAsia="黑体" w:hAnsi="黑体" w:cs="黑体"/>
          <w:b/>
          <w:sz w:val="32"/>
          <w:szCs w:val="32"/>
          <w14:ligatures w14:val="none"/>
        </w:rPr>
        <w:t>二、</w:t>
      </w:r>
      <w:bookmarkEnd w:id="1"/>
      <w:r w:rsidRPr="003D5B7A">
        <w:rPr>
          <w:rFonts w:ascii="黑体" w:eastAsia="黑体" w:hAnsi="黑体" w:cs="黑体"/>
          <w:b/>
          <w:sz w:val="32"/>
          <w:szCs w:val="32"/>
          <w14:ligatures w14:val="none"/>
        </w:rPr>
        <w:t>主要内容</w:t>
      </w:r>
    </w:p>
    <w:p w14:paraId="1D475277" w14:textId="77777777" w:rsidR="003D5B7A" w:rsidRPr="003D5B7A" w:rsidRDefault="003D5B7A" w:rsidP="003D5B7A">
      <w:pPr>
        <w:autoSpaceDE w:val="0"/>
        <w:spacing w:after="0" w:line="600" w:lineRule="exact"/>
        <w:ind w:firstLineChars="200" w:firstLine="640"/>
        <w:jc w:val="both"/>
        <w:rPr>
          <w:rFonts w:ascii="Times New Roman" w:eastAsia="仿宋_GB2312" w:hAnsi="Times New Roman" w:cs="Times New Roman"/>
          <w:sz w:val="32"/>
          <w:szCs w:val="32"/>
          <w14:ligatures w14:val="none"/>
        </w:rPr>
      </w:pPr>
      <w:r w:rsidRPr="003D5B7A">
        <w:rPr>
          <w:rFonts w:ascii="仿宋_GB2312" w:eastAsia="仿宋_GB2312" w:hAnsi="仿宋_GB2312" w:cs="仿宋_GB2312"/>
          <w:sz w:val="32"/>
          <w:szCs w:val="32"/>
          <w14:ligatures w14:val="none"/>
        </w:rPr>
        <w:t>（一）</w:t>
      </w:r>
      <w:r w:rsidRPr="003D5B7A">
        <w:rPr>
          <w:rFonts w:ascii="Times New Roman" w:eastAsia="仿宋_GB2312" w:hAnsi="Times New Roman" w:cs="Times New Roman"/>
          <w:sz w:val="32"/>
          <w:szCs w:val="32"/>
          <w14:ligatures w14:val="none"/>
        </w:rPr>
        <w:t>我省</w:t>
      </w:r>
      <w:r w:rsidRPr="003D5B7A">
        <w:rPr>
          <w:rFonts w:ascii="Times New Roman" w:eastAsia="仿宋_GB2312" w:hAnsi="Times New Roman" w:cs="Times New Roman"/>
          <w:sz w:val="32"/>
          <w:szCs w:val="32"/>
          <w14:ligatures w14:val="none"/>
        </w:rPr>
        <w:t>“</w:t>
      </w:r>
      <w:r w:rsidRPr="003D5B7A">
        <w:rPr>
          <w:rFonts w:ascii="Times New Roman" w:eastAsia="仿宋_GB2312" w:hAnsi="Times New Roman" w:cs="Times New Roman"/>
          <w:sz w:val="32"/>
          <w:szCs w:val="32"/>
          <w14:ligatures w14:val="none"/>
        </w:rPr>
        <w:t>白名单</w:t>
      </w:r>
      <w:r w:rsidRPr="003D5B7A">
        <w:rPr>
          <w:rFonts w:ascii="Times New Roman" w:eastAsia="仿宋_GB2312" w:hAnsi="Times New Roman" w:cs="Times New Roman"/>
          <w:sz w:val="32"/>
          <w:szCs w:val="32"/>
          <w14:ligatures w14:val="none"/>
        </w:rPr>
        <w:t>”</w:t>
      </w:r>
      <w:r w:rsidRPr="003D5B7A">
        <w:rPr>
          <w:rFonts w:ascii="Times New Roman" w:eastAsia="仿宋_GB2312" w:hAnsi="Times New Roman" w:cs="Times New Roman"/>
          <w:sz w:val="32"/>
          <w:szCs w:val="32"/>
          <w14:ligatures w14:val="none"/>
        </w:rPr>
        <w:t>制度编制严格对标国家医保局文件要求，支付范围清单结构全面采用表格化形式，按正负面清单设置，在国家要求基础上，进行了部分细化。</w:t>
      </w:r>
    </w:p>
    <w:p w14:paraId="5433534E" w14:textId="77777777" w:rsidR="003D5B7A" w:rsidRPr="003D5B7A" w:rsidRDefault="003D5B7A" w:rsidP="003D5B7A">
      <w:pPr>
        <w:autoSpaceDE w:val="0"/>
        <w:spacing w:after="0" w:line="600" w:lineRule="exact"/>
        <w:ind w:firstLineChars="200" w:firstLine="640"/>
        <w:jc w:val="both"/>
        <w:rPr>
          <w:rFonts w:ascii="Times New Roman" w:eastAsia="仿宋_GB2312" w:hAnsi="Times New Roman" w:cs="Times New Roman"/>
          <w:sz w:val="32"/>
          <w:szCs w:val="32"/>
          <w14:ligatures w14:val="none"/>
        </w:rPr>
      </w:pPr>
      <w:r w:rsidRPr="003D5B7A">
        <w:rPr>
          <w:rFonts w:ascii="Times New Roman" w:eastAsia="仿宋_GB2312" w:hAnsi="Times New Roman" w:cs="Times New Roman"/>
          <w:sz w:val="32"/>
          <w:szCs w:val="32"/>
          <w14:ligatures w14:val="none"/>
        </w:rPr>
        <w:t>1.</w:t>
      </w:r>
      <w:r w:rsidRPr="003D5B7A">
        <w:rPr>
          <w:rFonts w:ascii="Times New Roman" w:eastAsia="仿宋_GB2312" w:hAnsi="Times New Roman" w:cs="Times New Roman"/>
          <w:sz w:val="32"/>
          <w:szCs w:val="32"/>
          <w14:ligatures w14:val="none"/>
        </w:rPr>
        <w:t>正面清单：在医疗器械准入方面补充了合规化表述；</w:t>
      </w:r>
    </w:p>
    <w:p w14:paraId="500FBA64" w14:textId="77777777" w:rsidR="003D5B7A" w:rsidRPr="003D5B7A" w:rsidRDefault="003D5B7A" w:rsidP="003D5B7A">
      <w:pPr>
        <w:autoSpaceDE w:val="0"/>
        <w:spacing w:after="0" w:line="600" w:lineRule="exact"/>
        <w:ind w:firstLineChars="200" w:firstLine="640"/>
        <w:jc w:val="both"/>
        <w:rPr>
          <w:rFonts w:ascii="Times New Roman" w:eastAsia="仿宋_GB2312" w:hAnsi="Times New Roman" w:cs="Times New Roman"/>
          <w:sz w:val="32"/>
          <w:szCs w:val="32"/>
          <w14:ligatures w14:val="none"/>
        </w:rPr>
      </w:pPr>
      <w:r w:rsidRPr="003D5B7A">
        <w:rPr>
          <w:rFonts w:ascii="Times New Roman" w:eastAsia="仿宋_GB2312" w:hAnsi="Times New Roman" w:cs="Times New Roman"/>
          <w:sz w:val="32"/>
          <w:szCs w:val="32"/>
          <w14:ligatures w14:val="none"/>
        </w:rPr>
        <w:t>2.</w:t>
      </w:r>
      <w:r w:rsidRPr="003D5B7A">
        <w:rPr>
          <w:rFonts w:ascii="Times New Roman" w:eastAsia="仿宋_GB2312" w:hAnsi="Times New Roman" w:cs="Times New Roman"/>
          <w:sz w:val="32"/>
          <w:szCs w:val="32"/>
          <w14:ligatures w14:val="none"/>
        </w:rPr>
        <w:t>负面清单：明确调味品、零食、饮料等普通食品、卫生</w:t>
      </w:r>
      <w:r w:rsidRPr="003D5B7A">
        <w:rPr>
          <w:rFonts w:ascii="Times New Roman" w:eastAsia="仿宋_GB2312" w:hAnsi="Times New Roman" w:cs="Times New Roman"/>
          <w:sz w:val="32"/>
          <w:szCs w:val="32"/>
          <w14:ligatures w14:val="none"/>
        </w:rPr>
        <w:lastRenderedPageBreak/>
        <w:t>纸（巾）、洗手液、消毒水等日化生活用品不予以支付。</w:t>
      </w:r>
    </w:p>
    <w:p w14:paraId="066E6D1E" w14:textId="77777777" w:rsidR="003D5B7A" w:rsidRPr="003D5B7A" w:rsidRDefault="003D5B7A" w:rsidP="003D5B7A">
      <w:pPr>
        <w:autoSpaceDE w:val="0"/>
        <w:spacing w:after="0" w:line="600" w:lineRule="exact"/>
        <w:ind w:firstLineChars="200" w:firstLine="640"/>
        <w:jc w:val="both"/>
        <w:rPr>
          <w:rFonts w:ascii="仿宋_GB2312" w:eastAsia="仿宋_GB2312" w:hAnsi="仿宋_GB2312" w:cs="仿宋_GB2312"/>
          <w:sz w:val="32"/>
          <w:szCs w:val="32"/>
          <w14:ligatures w14:val="none"/>
        </w:rPr>
      </w:pPr>
      <w:bookmarkStart w:id="2" w:name="heading_3"/>
      <w:r w:rsidRPr="003D5B7A">
        <w:rPr>
          <w:rFonts w:ascii="仿宋_GB2312" w:eastAsia="仿宋_GB2312" w:hAnsi="仿宋_GB2312" w:cs="仿宋_GB2312"/>
          <w:sz w:val="32"/>
          <w:szCs w:val="32"/>
          <w14:ligatures w14:val="none"/>
        </w:rPr>
        <w:t>（二）为确保制度平稳落地，提出规范结算行为、加强内部管理、强化日常监管等配套措施要求。</w:t>
      </w:r>
      <w:bookmarkEnd w:id="2"/>
    </w:p>
    <w:p w14:paraId="555CC2C2" w14:textId="77777777" w:rsidR="003D5B7A" w:rsidRPr="003D5B7A" w:rsidRDefault="003D5B7A" w:rsidP="003D5B7A">
      <w:pPr>
        <w:spacing w:after="0" w:line="600" w:lineRule="exact"/>
        <w:ind w:leftChars="304" w:left="1949" w:hangingChars="400" w:hanging="1280"/>
        <w:jc w:val="both"/>
        <w:rPr>
          <w:rFonts w:ascii="Times New Roman" w:eastAsia="仿宋_GB2312" w:hAnsi="Times New Roman" w:cs="Times New Roman"/>
          <w:sz w:val="32"/>
          <w:szCs w:val="32"/>
          <w14:ligatures w14:val="none"/>
        </w:rPr>
      </w:pPr>
    </w:p>
    <w:p w14:paraId="62A8626B" w14:textId="77777777" w:rsidR="003D5B7A" w:rsidRPr="003D5B7A" w:rsidRDefault="003D5B7A" w:rsidP="003D5B7A">
      <w:pPr>
        <w:spacing w:after="0" w:line="600" w:lineRule="exact"/>
        <w:ind w:leftChars="304" w:left="1949" w:hangingChars="400" w:hanging="1280"/>
        <w:jc w:val="both"/>
        <w:rPr>
          <w:rFonts w:ascii="Times New Roman" w:eastAsia="仿宋_GB2312" w:hAnsi="Times New Roman" w:cs="Times New Roman"/>
          <w:sz w:val="32"/>
          <w:szCs w:val="32"/>
          <w14:ligatures w14:val="none"/>
        </w:rPr>
      </w:pPr>
    </w:p>
    <w:p w14:paraId="70D489D2" w14:textId="77777777" w:rsidR="003D5B7A" w:rsidRPr="003D5B7A" w:rsidRDefault="003D5B7A" w:rsidP="003D5B7A">
      <w:pPr>
        <w:spacing w:after="0" w:line="600" w:lineRule="exact"/>
        <w:jc w:val="both"/>
        <w:rPr>
          <w:rFonts w:ascii="Times New Roman" w:eastAsia="仿宋_GB2312" w:hAnsi="Times New Roman" w:cs="Times New Roman"/>
          <w:sz w:val="32"/>
          <w:szCs w:val="32"/>
          <w14:ligatures w14:val="none"/>
        </w:rPr>
      </w:pPr>
    </w:p>
    <w:p w14:paraId="24B82D29" w14:textId="77777777" w:rsidR="003D5B7A" w:rsidRPr="003D5B7A" w:rsidRDefault="003D5B7A" w:rsidP="003D5B7A">
      <w:pPr>
        <w:spacing w:after="0" w:line="600" w:lineRule="exact"/>
        <w:ind w:firstLineChars="1500" w:firstLine="4800"/>
        <w:jc w:val="both"/>
        <w:rPr>
          <w:rFonts w:ascii="Times New Roman" w:eastAsia="仿宋_GB2312" w:hAnsi="Times New Roman" w:cs="Times New Roman"/>
          <w:sz w:val="32"/>
          <w:szCs w:val="32"/>
          <w14:ligatures w14:val="none"/>
        </w:rPr>
      </w:pPr>
      <w:r w:rsidRPr="003D5B7A">
        <w:rPr>
          <w:rFonts w:ascii="Times New Roman" w:eastAsia="仿宋_GB2312" w:hAnsi="Times New Roman" w:cs="Times New Roman"/>
          <w:sz w:val="32"/>
          <w:szCs w:val="32"/>
          <w14:ligatures w14:val="none"/>
        </w:rPr>
        <w:t>云南省医疗保障局</w:t>
      </w:r>
    </w:p>
    <w:p w14:paraId="48A938B7" w14:textId="77777777" w:rsidR="003D5B7A" w:rsidRPr="003D5B7A" w:rsidRDefault="003D5B7A" w:rsidP="003D5B7A">
      <w:pPr>
        <w:spacing w:after="0" w:line="600" w:lineRule="exact"/>
        <w:ind w:firstLineChars="1600" w:firstLine="5120"/>
        <w:jc w:val="both"/>
        <w:rPr>
          <w:rFonts w:ascii="Times New Roman" w:eastAsia="仿宋_GB2312" w:hAnsi="Times New Roman" w:cs="Times New Roman"/>
          <w:sz w:val="32"/>
          <w:szCs w:val="32"/>
          <w14:ligatures w14:val="none"/>
        </w:rPr>
      </w:pPr>
      <w:r w:rsidRPr="003D5B7A">
        <w:rPr>
          <w:rFonts w:ascii="Times New Roman" w:eastAsia="仿宋_GB2312" w:hAnsi="Times New Roman" w:cs="Times New Roman"/>
          <w:sz w:val="32"/>
          <w:szCs w:val="32"/>
          <w14:ligatures w14:val="none"/>
        </w:rPr>
        <w:t>2026</w:t>
      </w:r>
      <w:r w:rsidRPr="003D5B7A">
        <w:rPr>
          <w:rFonts w:ascii="Times New Roman" w:eastAsia="仿宋_GB2312" w:hAnsi="Times New Roman" w:cs="Times New Roman"/>
          <w:sz w:val="32"/>
          <w:szCs w:val="32"/>
          <w14:ligatures w14:val="none"/>
        </w:rPr>
        <w:t>年</w:t>
      </w:r>
      <w:r w:rsidRPr="003D5B7A">
        <w:rPr>
          <w:rFonts w:ascii="Times New Roman" w:eastAsia="仿宋_GB2312" w:hAnsi="Times New Roman" w:cs="Times New Roman"/>
          <w:sz w:val="32"/>
          <w:szCs w:val="32"/>
          <w14:ligatures w14:val="none"/>
        </w:rPr>
        <w:t>9</w:t>
      </w:r>
      <w:r w:rsidRPr="003D5B7A">
        <w:rPr>
          <w:rFonts w:ascii="Times New Roman" w:eastAsia="仿宋_GB2312" w:hAnsi="Times New Roman" w:cs="Times New Roman"/>
          <w:sz w:val="32"/>
          <w:szCs w:val="32"/>
          <w14:ligatures w14:val="none"/>
        </w:rPr>
        <w:t>月</w:t>
      </w:r>
      <w:r w:rsidRPr="003D5B7A">
        <w:rPr>
          <w:rFonts w:ascii="Times New Roman" w:eastAsia="仿宋_GB2312" w:hAnsi="Times New Roman" w:cs="Times New Roman"/>
          <w:sz w:val="32"/>
          <w:szCs w:val="32"/>
          <w14:ligatures w14:val="none"/>
        </w:rPr>
        <w:t xml:space="preserve">8 </w:t>
      </w:r>
      <w:r w:rsidRPr="003D5B7A">
        <w:rPr>
          <w:rFonts w:ascii="Times New Roman" w:eastAsia="仿宋_GB2312" w:hAnsi="Times New Roman" w:cs="Times New Roman"/>
          <w:sz w:val="32"/>
          <w:szCs w:val="32"/>
          <w14:ligatures w14:val="none"/>
        </w:rPr>
        <w:t>日</w:t>
      </w:r>
    </w:p>
    <w:p w14:paraId="127CA1DD" w14:textId="77777777" w:rsidR="00C7687F" w:rsidRPr="003D5B7A" w:rsidRDefault="00C7687F">
      <w:pPr>
        <w:rPr>
          <w:rFonts w:hint="eastAsia"/>
        </w:rPr>
      </w:pPr>
    </w:p>
    <w:sectPr w:rsidR="00C7687F" w:rsidRPr="003D5B7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方正仿宋_GBK"/>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B7A"/>
    <w:rsid w:val="003D5B7A"/>
    <w:rsid w:val="00813A73"/>
    <w:rsid w:val="00C7687F"/>
    <w:rsid w:val="00D74394"/>
    <w:rsid w:val="00E33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2C1F9"/>
  <w15:chartTrackingRefBased/>
  <w15:docId w15:val="{E15E0BA3-97EF-4E79-8082-9F26CAAB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D5B7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D5B7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D5B7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D5B7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D5B7A"/>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D5B7A"/>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D5B7A"/>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D5B7A"/>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D5B7A"/>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D5B7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D5B7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D5B7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D5B7A"/>
    <w:rPr>
      <w:rFonts w:cstheme="majorBidi"/>
      <w:color w:val="2F5496" w:themeColor="accent1" w:themeShade="BF"/>
      <w:sz w:val="28"/>
      <w:szCs w:val="28"/>
    </w:rPr>
  </w:style>
  <w:style w:type="character" w:customStyle="1" w:styleId="50">
    <w:name w:val="标题 5 字符"/>
    <w:basedOn w:val="a0"/>
    <w:link w:val="5"/>
    <w:uiPriority w:val="9"/>
    <w:semiHidden/>
    <w:rsid w:val="003D5B7A"/>
    <w:rPr>
      <w:rFonts w:cstheme="majorBidi"/>
      <w:color w:val="2F5496" w:themeColor="accent1" w:themeShade="BF"/>
      <w:sz w:val="24"/>
    </w:rPr>
  </w:style>
  <w:style w:type="character" w:customStyle="1" w:styleId="60">
    <w:name w:val="标题 6 字符"/>
    <w:basedOn w:val="a0"/>
    <w:link w:val="6"/>
    <w:uiPriority w:val="9"/>
    <w:semiHidden/>
    <w:rsid w:val="003D5B7A"/>
    <w:rPr>
      <w:rFonts w:cstheme="majorBidi"/>
      <w:b/>
      <w:bCs/>
      <w:color w:val="2F5496" w:themeColor="accent1" w:themeShade="BF"/>
    </w:rPr>
  </w:style>
  <w:style w:type="character" w:customStyle="1" w:styleId="70">
    <w:name w:val="标题 7 字符"/>
    <w:basedOn w:val="a0"/>
    <w:link w:val="7"/>
    <w:uiPriority w:val="9"/>
    <w:semiHidden/>
    <w:rsid w:val="003D5B7A"/>
    <w:rPr>
      <w:rFonts w:cstheme="majorBidi"/>
      <w:b/>
      <w:bCs/>
      <w:color w:val="595959" w:themeColor="text1" w:themeTint="A6"/>
    </w:rPr>
  </w:style>
  <w:style w:type="character" w:customStyle="1" w:styleId="80">
    <w:name w:val="标题 8 字符"/>
    <w:basedOn w:val="a0"/>
    <w:link w:val="8"/>
    <w:uiPriority w:val="9"/>
    <w:semiHidden/>
    <w:rsid w:val="003D5B7A"/>
    <w:rPr>
      <w:rFonts w:cstheme="majorBidi"/>
      <w:color w:val="595959" w:themeColor="text1" w:themeTint="A6"/>
    </w:rPr>
  </w:style>
  <w:style w:type="character" w:customStyle="1" w:styleId="90">
    <w:name w:val="标题 9 字符"/>
    <w:basedOn w:val="a0"/>
    <w:link w:val="9"/>
    <w:uiPriority w:val="9"/>
    <w:semiHidden/>
    <w:rsid w:val="003D5B7A"/>
    <w:rPr>
      <w:rFonts w:eastAsiaTheme="majorEastAsia" w:cstheme="majorBidi"/>
      <w:color w:val="595959" w:themeColor="text1" w:themeTint="A6"/>
    </w:rPr>
  </w:style>
  <w:style w:type="paragraph" w:styleId="a3">
    <w:name w:val="Title"/>
    <w:basedOn w:val="a"/>
    <w:next w:val="a"/>
    <w:link w:val="a4"/>
    <w:uiPriority w:val="10"/>
    <w:qFormat/>
    <w:rsid w:val="003D5B7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D5B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5B7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D5B7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D5B7A"/>
    <w:pPr>
      <w:spacing w:before="160"/>
      <w:jc w:val="center"/>
    </w:pPr>
    <w:rPr>
      <w:i/>
      <w:iCs/>
      <w:color w:val="404040" w:themeColor="text1" w:themeTint="BF"/>
    </w:rPr>
  </w:style>
  <w:style w:type="character" w:customStyle="1" w:styleId="a8">
    <w:name w:val="引用 字符"/>
    <w:basedOn w:val="a0"/>
    <w:link w:val="a7"/>
    <w:uiPriority w:val="29"/>
    <w:rsid w:val="003D5B7A"/>
    <w:rPr>
      <w:i/>
      <w:iCs/>
      <w:color w:val="404040" w:themeColor="text1" w:themeTint="BF"/>
    </w:rPr>
  </w:style>
  <w:style w:type="paragraph" w:styleId="a9">
    <w:name w:val="List Paragraph"/>
    <w:basedOn w:val="a"/>
    <w:uiPriority w:val="34"/>
    <w:qFormat/>
    <w:rsid w:val="003D5B7A"/>
    <w:pPr>
      <w:ind w:left="720"/>
      <w:contextualSpacing/>
    </w:pPr>
  </w:style>
  <w:style w:type="character" w:styleId="aa">
    <w:name w:val="Intense Emphasis"/>
    <w:basedOn w:val="a0"/>
    <w:uiPriority w:val="21"/>
    <w:qFormat/>
    <w:rsid w:val="003D5B7A"/>
    <w:rPr>
      <w:i/>
      <w:iCs/>
      <w:color w:val="2F5496" w:themeColor="accent1" w:themeShade="BF"/>
    </w:rPr>
  </w:style>
  <w:style w:type="paragraph" w:styleId="ab">
    <w:name w:val="Intense Quote"/>
    <w:basedOn w:val="a"/>
    <w:next w:val="a"/>
    <w:link w:val="ac"/>
    <w:uiPriority w:val="30"/>
    <w:qFormat/>
    <w:rsid w:val="003D5B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3D5B7A"/>
    <w:rPr>
      <w:i/>
      <w:iCs/>
      <w:color w:val="2F5496" w:themeColor="accent1" w:themeShade="BF"/>
    </w:rPr>
  </w:style>
  <w:style w:type="character" w:styleId="ad">
    <w:name w:val="Intense Reference"/>
    <w:basedOn w:val="a0"/>
    <w:uiPriority w:val="32"/>
    <w:qFormat/>
    <w:rsid w:val="003D5B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275</Words>
  <Characters>282</Characters>
  <Application>Microsoft Office Word</Application>
  <DocSecurity>0</DocSecurity>
  <Lines>21</Lines>
  <Paragraphs>14</Paragraphs>
  <ScaleCrop>false</ScaleCrop>
  <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瑶 谭</dc:creator>
  <cp:keywords/>
  <dc:description/>
  <cp:lastModifiedBy>瑶 谭</cp:lastModifiedBy>
  <cp:revision>1</cp:revision>
  <dcterms:created xsi:type="dcterms:W3CDTF">2026-09-08T09:02:00Z</dcterms:created>
  <dcterms:modified xsi:type="dcterms:W3CDTF">2026-09-08T09:03:00Z</dcterms:modified>
</cp:coreProperties>
</file>