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kern w:val="2"/>
          <w:sz w:val="32"/>
          <w:szCs w:val="32"/>
          <w:lang w:val="zh-TW" w:eastAsia="zh-CN"/>
        </w:rPr>
      </w:pPr>
      <w:r>
        <w:rPr>
          <w:rFonts w:hint="eastAsia" w:ascii="方正小标宋简体" w:hAnsi="方正小标宋简体" w:eastAsia="方正小标宋简体" w:cs="方正小标宋简体"/>
          <w:kern w:val="2"/>
          <w:sz w:val="32"/>
          <w:szCs w:val="32"/>
          <w:lang w:val="zh-TW" w:eastAsia="zh-TW"/>
        </w:rPr>
        <w:t>项目十六</w:t>
      </w:r>
      <w:r>
        <w:rPr>
          <w:rFonts w:hint="eastAsia" w:ascii="方正小标宋简体" w:hAnsi="方正小标宋简体" w:eastAsia="方正小标宋简体" w:cs="方正小标宋简体"/>
          <w:kern w:val="2"/>
          <w:sz w:val="32"/>
          <w:szCs w:val="32"/>
          <w:lang w:val="zh-TW" w:eastAsia="zh-CN"/>
        </w:rPr>
        <w:t>：</w:t>
      </w:r>
    </w:p>
    <w:p>
      <w:pPr>
        <w:spacing w:line="560" w:lineRule="exact"/>
        <w:jc w:val="center"/>
        <w:rPr>
          <w:rFonts w:hint="eastAsia" w:ascii="方正小标宋简体" w:hAnsi="方正小标宋简体" w:eastAsia="方正小标宋简体" w:cs="方正小标宋简体"/>
          <w:bCs/>
          <w:sz w:val="32"/>
          <w:szCs w:val="32"/>
        </w:rPr>
      </w:pPr>
      <w:bookmarkStart w:id="0" w:name="_GoBack"/>
      <w:r>
        <w:rPr>
          <w:rFonts w:hint="eastAsia" w:ascii="方正小标宋简体" w:hAnsi="方正小标宋简体" w:eastAsia="方正小标宋简体" w:cs="方正小标宋简体"/>
          <w:bCs/>
          <w:sz w:val="32"/>
          <w:szCs w:val="32"/>
        </w:rPr>
        <w:t>“春城创文进行时-我们的创文故事”项目支出绩效评分表</w:t>
      </w:r>
      <w:bookmarkEnd w:id="0"/>
    </w:p>
    <w:tbl>
      <w:tblPr>
        <w:tblStyle w:val="5"/>
        <w:tblpPr w:leftFromText="180" w:rightFromText="180" w:vertAnchor="text" w:horzAnchor="page" w:tblpX="1201" w:tblpY="383"/>
        <w:tblW w:w="10412" w:type="dxa"/>
        <w:tblInd w:w="0" w:type="dxa"/>
        <w:tblLayout w:type="fixed"/>
        <w:tblCellMar>
          <w:top w:w="0" w:type="dxa"/>
          <w:left w:w="108" w:type="dxa"/>
          <w:bottom w:w="0" w:type="dxa"/>
          <w:right w:w="108" w:type="dxa"/>
        </w:tblCellMar>
      </w:tblPr>
      <w:tblGrid>
        <w:gridCol w:w="907"/>
        <w:gridCol w:w="902"/>
        <w:gridCol w:w="993"/>
        <w:gridCol w:w="1295"/>
        <w:gridCol w:w="499"/>
        <w:gridCol w:w="566"/>
        <w:gridCol w:w="2085"/>
        <w:gridCol w:w="1792"/>
        <w:gridCol w:w="1373"/>
      </w:tblGrid>
      <w:tr>
        <w:tblPrEx>
          <w:tblCellMar>
            <w:top w:w="0" w:type="dxa"/>
            <w:left w:w="108" w:type="dxa"/>
            <w:bottom w:w="0" w:type="dxa"/>
            <w:right w:w="108" w:type="dxa"/>
          </w:tblCellMar>
        </w:tblPrEx>
        <w:trPr>
          <w:trHeight w:val="540" w:hRule="atLeast"/>
        </w:trPr>
        <w:tc>
          <w:tcPr>
            <w:tcW w:w="907"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一级</w:t>
            </w:r>
          </w:p>
          <w:p>
            <w:pPr>
              <w:widowControl/>
              <w:spacing w:line="0" w:lineRule="atLeast"/>
              <w:jc w:val="center"/>
              <w:rPr>
                <w:b/>
                <w:bCs/>
                <w:color w:val="000000"/>
                <w:kern w:val="0"/>
                <w:sz w:val="18"/>
                <w:szCs w:val="18"/>
              </w:rPr>
            </w:pPr>
            <w:r>
              <w:rPr>
                <w:b/>
                <w:bCs/>
                <w:color w:val="000000"/>
                <w:kern w:val="0"/>
                <w:sz w:val="18"/>
                <w:szCs w:val="18"/>
              </w:rPr>
              <w:t>指标</w:t>
            </w:r>
          </w:p>
        </w:tc>
        <w:tc>
          <w:tcPr>
            <w:tcW w:w="902"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二级指标</w:t>
            </w:r>
          </w:p>
        </w:tc>
        <w:tc>
          <w:tcPr>
            <w:tcW w:w="99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三级指标</w:t>
            </w:r>
          </w:p>
        </w:tc>
        <w:tc>
          <w:tcPr>
            <w:tcW w:w="129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四级指标</w:t>
            </w:r>
          </w:p>
        </w:tc>
        <w:tc>
          <w:tcPr>
            <w:tcW w:w="499"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分值</w:t>
            </w:r>
          </w:p>
        </w:tc>
        <w:tc>
          <w:tcPr>
            <w:tcW w:w="566"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得分</w:t>
            </w:r>
          </w:p>
        </w:tc>
        <w:tc>
          <w:tcPr>
            <w:tcW w:w="208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指标解释</w:t>
            </w:r>
          </w:p>
        </w:tc>
        <w:tc>
          <w:tcPr>
            <w:tcW w:w="1792"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评分标准</w:t>
            </w:r>
          </w:p>
        </w:tc>
        <w:tc>
          <w:tcPr>
            <w:tcW w:w="1373"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bCs/>
                <w:color w:val="000000"/>
                <w:kern w:val="0"/>
                <w:sz w:val="18"/>
                <w:szCs w:val="18"/>
              </w:rPr>
            </w:pPr>
            <w:r>
              <w:rPr>
                <w:b/>
                <w:bCs/>
                <w:color w:val="000000"/>
                <w:kern w:val="0"/>
                <w:sz w:val="18"/>
                <w:szCs w:val="18"/>
              </w:rPr>
              <w:t>数据来源</w:t>
            </w:r>
          </w:p>
        </w:tc>
      </w:tr>
      <w:tr>
        <w:tblPrEx>
          <w:tblCellMar>
            <w:top w:w="0" w:type="dxa"/>
            <w:left w:w="108" w:type="dxa"/>
            <w:bottom w:w="0" w:type="dxa"/>
            <w:right w:w="108" w:type="dxa"/>
          </w:tblCellMar>
        </w:tblPrEx>
        <w:trPr>
          <w:trHeight w:val="900" w:hRule="atLeast"/>
        </w:trPr>
        <w:tc>
          <w:tcPr>
            <w:tcW w:w="907"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A.项目决策（20%）</w:t>
            </w: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A1.项目立项（8%）</w:t>
            </w: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A11.与部门中长期规划目标适应性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A111.与部门中长期规划目标匹配性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考察项目与部门中长期目标是否匹配</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匹配，得满分；不匹配，不得分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部门中长期规划目标</w:t>
            </w:r>
          </w:p>
        </w:tc>
      </w:tr>
      <w:tr>
        <w:tblPrEx>
          <w:tblCellMar>
            <w:top w:w="0" w:type="dxa"/>
            <w:left w:w="108" w:type="dxa"/>
            <w:bottom w:w="0" w:type="dxa"/>
            <w:right w:w="108" w:type="dxa"/>
          </w:tblCellMar>
        </w:tblPrEx>
        <w:trPr>
          <w:trHeight w:val="105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A12.立项依据充分性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A121.与市政府相关规划、决策匹配性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考察项目是否符合市政府相关发展规划和政府决策</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符合，得满分；不符合，不得分。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市政府相关规划、决策、批复</w:t>
            </w:r>
          </w:p>
        </w:tc>
      </w:tr>
      <w:tr>
        <w:tblPrEx>
          <w:tblCellMar>
            <w:top w:w="0" w:type="dxa"/>
            <w:left w:w="108" w:type="dxa"/>
            <w:bottom w:w="0" w:type="dxa"/>
            <w:right w:w="108" w:type="dxa"/>
          </w:tblCellMar>
        </w:tblPrEx>
        <w:trPr>
          <w:trHeight w:val="54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A122.与部门职责适应性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考察项目是否与部门职责密切相关。</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部门职责文件</w:t>
            </w:r>
          </w:p>
        </w:tc>
      </w:tr>
      <w:tr>
        <w:tblPrEx>
          <w:tblCellMar>
            <w:top w:w="0" w:type="dxa"/>
            <w:left w:w="108" w:type="dxa"/>
            <w:bottom w:w="0" w:type="dxa"/>
            <w:right w:w="108" w:type="dxa"/>
          </w:tblCellMar>
        </w:tblPrEx>
        <w:trPr>
          <w:trHeight w:val="54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A13.项目立项规范性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A131.前期调研情况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考察项目立项是否经过前期调研。</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调研报告</w:t>
            </w:r>
          </w:p>
        </w:tc>
      </w:tr>
      <w:tr>
        <w:tblPrEx>
          <w:tblCellMar>
            <w:top w:w="0" w:type="dxa"/>
            <w:left w:w="108" w:type="dxa"/>
            <w:bottom w:w="0" w:type="dxa"/>
            <w:right w:w="108" w:type="dxa"/>
          </w:tblCellMar>
        </w:tblPrEx>
        <w:trPr>
          <w:trHeight w:val="599"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A132.立项程序规范性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考察项目的申请、设立过程是否符合相关要求。</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立项申请、批复文件</w:t>
            </w:r>
          </w:p>
        </w:tc>
      </w:tr>
      <w:tr>
        <w:tblPrEx>
          <w:tblCellMar>
            <w:top w:w="0" w:type="dxa"/>
            <w:left w:w="108" w:type="dxa"/>
            <w:bottom w:w="0" w:type="dxa"/>
            <w:right w:w="108" w:type="dxa"/>
          </w:tblCellMar>
        </w:tblPrEx>
        <w:trPr>
          <w:trHeight w:val="91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A2.项目目标（12%）</w:t>
            </w: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A21.绩效目标设定的合理性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A211.绩效目标相关性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考察设定的绩效目标是否与事业发展规划相关。</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绩效目标申报表、部门规划、年度工作目标</w:t>
            </w:r>
          </w:p>
        </w:tc>
      </w:tr>
      <w:tr>
        <w:tblPrEx>
          <w:tblCellMar>
            <w:top w:w="0" w:type="dxa"/>
            <w:left w:w="108" w:type="dxa"/>
            <w:bottom w:w="0" w:type="dxa"/>
            <w:right w:w="108" w:type="dxa"/>
          </w:tblCellMar>
        </w:tblPrEx>
        <w:trPr>
          <w:trHeight w:val="894"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A212.绩效目标完整性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考察设定的绩效目标是否完整地反应预期产出和效果</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绩效目标申报表、年度工作目标、立项申请、批复文件</w:t>
            </w:r>
          </w:p>
        </w:tc>
      </w:tr>
      <w:tr>
        <w:tblPrEx>
          <w:tblCellMar>
            <w:top w:w="0" w:type="dxa"/>
            <w:left w:w="108" w:type="dxa"/>
            <w:bottom w:w="0" w:type="dxa"/>
            <w:right w:w="108" w:type="dxa"/>
          </w:tblCellMar>
        </w:tblPrEx>
        <w:trPr>
          <w:trHeight w:val="82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A213.目标与预算的匹配性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考察设定的绩效目标是否与年度预算相匹配。</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79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A22.绩效指标设定的明确性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A221.指标细化分解情况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考察是否将绩效目标细化分解为清晰、可衡量的绩效指标。</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绩效目标申报表、立项申请、批复文件</w:t>
            </w:r>
          </w:p>
        </w:tc>
      </w:tr>
      <w:tr>
        <w:tblPrEx>
          <w:tblCellMar>
            <w:top w:w="0" w:type="dxa"/>
            <w:left w:w="108" w:type="dxa"/>
            <w:bottom w:w="0" w:type="dxa"/>
            <w:right w:w="108" w:type="dxa"/>
          </w:tblCellMar>
        </w:tblPrEx>
        <w:trPr>
          <w:trHeight w:val="88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A222.指标与目标的匹配性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3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考察设定的绩效指标是否与年度工作任务相对应。</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是，得满分；否，不得分。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绩效目标申报表、年度工作任务</w:t>
            </w:r>
          </w:p>
        </w:tc>
      </w:tr>
      <w:tr>
        <w:tblPrEx>
          <w:tblCellMar>
            <w:top w:w="0" w:type="dxa"/>
            <w:left w:w="108" w:type="dxa"/>
            <w:bottom w:w="0" w:type="dxa"/>
            <w:right w:w="108" w:type="dxa"/>
          </w:tblCellMar>
        </w:tblPrEx>
        <w:trPr>
          <w:trHeight w:val="720" w:hRule="atLeast"/>
        </w:trPr>
        <w:tc>
          <w:tcPr>
            <w:tcW w:w="907"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B.项目管理（20%）</w:t>
            </w: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B1.投入管理（4%）</w:t>
            </w: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B11.预算编制合理性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考察预算编制是否充分、合理的预计项目支出并完整反应</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合理得满分；存在一项不合理，扣0.5分，扣完为止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预算分析、预算批复</w:t>
            </w:r>
          </w:p>
        </w:tc>
      </w:tr>
      <w:tr>
        <w:tblPrEx>
          <w:tblCellMar>
            <w:top w:w="0" w:type="dxa"/>
            <w:left w:w="108" w:type="dxa"/>
            <w:bottom w:w="0" w:type="dxa"/>
            <w:right w:w="108" w:type="dxa"/>
          </w:tblCellMar>
        </w:tblPrEx>
        <w:trPr>
          <w:trHeight w:val="81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B12.预算调整规范性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考察存在预算调整时是否按照相关规定执行调整程序。</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规范，得满分；部分规范，扣0.5分；不规范，不得分。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预算调整文件</w:t>
            </w:r>
          </w:p>
        </w:tc>
      </w:tr>
      <w:tr>
        <w:tblPrEx>
          <w:tblCellMar>
            <w:top w:w="0" w:type="dxa"/>
            <w:left w:w="108" w:type="dxa"/>
            <w:bottom w:w="0" w:type="dxa"/>
            <w:right w:w="108" w:type="dxa"/>
          </w:tblCellMar>
        </w:tblPrEx>
        <w:trPr>
          <w:trHeight w:val="123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B13.预算执行率</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考察项目预算执行的进度。预算执行率=实际支出金额/项目预算金额×100%</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预算执行率95%以上，得满分；低于95%，每下降1%扣权重的1%；预算执行率60%以下，不计分。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97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B2.财务管理（6%）</w:t>
            </w: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B21.资金使用情况</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考察项目资金使用是否符合预算批复的用途，是否存在截留、挤占、挪用、虚列支出等情况。</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合规，得满分；存在一项不合规，扣1分，扣完为止。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绩效目标申报表、支付指令，合同、财务凭证</w:t>
            </w:r>
          </w:p>
        </w:tc>
      </w:tr>
      <w:tr>
        <w:tblPrEx>
          <w:tblCellMar>
            <w:top w:w="0" w:type="dxa"/>
            <w:left w:w="108" w:type="dxa"/>
            <w:bottom w:w="0" w:type="dxa"/>
            <w:right w:w="108" w:type="dxa"/>
          </w:tblCellMar>
        </w:tblPrEx>
        <w:trPr>
          <w:trHeight w:val="228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B22.财务管理制度健全性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考察项目的财务制度是否健全、完善、有效。</w:t>
            </w:r>
          </w:p>
        </w:tc>
        <w:tc>
          <w:tcPr>
            <w:tcW w:w="1792" w:type="dxa"/>
            <w:tcBorders>
              <w:top w:val="nil"/>
              <w:left w:val="nil"/>
              <w:bottom w:val="single" w:color="auto" w:sz="4" w:space="0"/>
              <w:right w:val="single" w:color="auto" w:sz="4" w:space="0"/>
            </w:tcBorders>
            <w:noWrap w:val="0"/>
            <w:vAlign w:val="top"/>
          </w:tcPr>
          <w:p>
            <w:pPr>
              <w:widowControl/>
              <w:spacing w:line="0" w:lineRule="atLeast"/>
              <w:jc w:val="left"/>
              <w:rPr>
                <w:color w:val="000000"/>
                <w:kern w:val="0"/>
                <w:sz w:val="18"/>
                <w:szCs w:val="18"/>
              </w:rPr>
            </w:pPr>
            <w:r>
              <w:rPr>
                <w:color w:val="000000"/>
                <w:kern w:val="0"/>
                <w:sz w:val="18"/>
                <w:szCs w:val="18"/>
              </w:rPr>
              <w:t>a.是否已制定或具有相应的财务管理办法；                         b.项目财务管理办法是否符合相关财务会计制度的规定；                                              c.是否存在需要完善的风险控制环节。                            符合所有条件，得满分； 一项不符合，扣0.5分，扣完为止。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w:t>
            </w:r>
          </w:p>
        </w:tc>
      </w:tr>
      <w:tr>
        <w:tblPrEx>
          <w:tblCellMar>
            <w:top w:w="0" w:type="dxa"/>
            <w:left w:w="108" w:type="dxa"/>
            <w:bottom w:w="0" w:type="dxa"/>
            <w:right w:w="108" w:type="dxa"/>
          </w:tblCellMar>
        </w:tblPrEx>
        <w:trPr>
          <w:trHeight w:val="75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B23.财务监控有效性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B231.资金拨付程序完整性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考察资金拨付是否具有完整的审批程序和手续，是否符合相关制度规定。</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资金拨付申请、审批手续完整，得满分；存在一例手续不完整，不得分。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支付申请单、支付指令</w:t>
            </w:r>
          </w:p>
        </w:tc>
      </w:tr>
      <w:tr>
        <w:tblPrEx>
          <w:tblCellMar>
            <w:top w:w="0" w:type="dxa"/>
            <w:left w:w="108" w:type="dxa"/>
            <w:bottom w:w="0" w:type="dxa"/>
            <w:right w:w="108" w:type="dxa"/>
          </w:tblCellMar>
        </w:tblPrEx>
        <w:trPr>
          <w:trHeight w:val="75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B232财务制度执行有效性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考察是否存在违反相关财务管理制度的情况。</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不存在，得满分；存在1例，不得分。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财务管理制度、访谈、会计凭证</w:t>
            </w:r>
          </w:p>
        </w:tc>
      </w:tr>
      <w:tr>
        <w:tblPrEx>
          <w:tblCellMar>
            <w:top w:w="0" w:type="dxa"/>
            <w:left w:w="108" w:type="dxa"/>
            <w:bottom w:w="0" w:type="dxa"/>
            <w:right w:w="108" w:type="dxa"/>
          </w:tblCellMar>
        </w:tblPrEx>
        <w:trPr>
          <w:trHeight w:val="120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B3.项目实施（10%）</w:t>
            </w: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B31.项目管理制度健全性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B311.项目实施单位管理制度健全性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项目实施单位为保障项目顺利实施制订的与项目直接相关的业务管理制度是否健全、完善和有效。</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制订相关制度或采取措施，得满分；制度不完善或者措施不明确，得权重的60%；没有相关制度或措施，不得分。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项目实施单位管理制度、访谈、现场调查</w:t>
            </w:r>
          </w:p>
        </w:tc>
      </w:tr>
      <w:tr>
        <w:tblPrEx>
          <w:tblCellMar>
            <w:top w:w="0" w:type="dxa"/>
            <w:left w:w="108" w:type="dxa"/>
            <w:bottom w:w="0" w:type="dxa"/>
            <w:right w:w="108" w:type="dxa"/>
          </w:tblCellMar>
        </w:tblPrEx>
        <w:trPr>
          <w:trHeight w:val="97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B312.管理方监管措施健全性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考察项目主管部门为保障项目顺利实施采取的监管措施是否明确，是否存在需要完善的风险控制环节。</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监管措施明确、完善，得满分；每存在一项需要完善的风险控制点，扣权重的30%，扣完为止。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管理制度、访谈、现场调查</w:t>
            </w:r>
          </w:p>
        </w:tc>
      </w:tr>
      <w:tr>
        <w:tblPrEx>
          <w:tblCellMar>
            <w:top w:w="0" w:type="dxa"/>
            <w:left w:w="108" w:type="dxa"/>
            <w:bottom w:w="0" w:type="dxa"/>
            <w:right w:w="108" w:type="dxa"/>
          </w:tblCellMar>
        </w:tblPrEx>
        <w:trPr>
          <w:trHeight w:val="88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B32.项目管理制度执行有效性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B321.项目实施单位管理制度执行情况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考察项目实施单位制订的管理制度是否有效执行。</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项目实施单位管理制度、现场调查</w:t>
            </w:r>
          </w:p>
        </w:tc>
      </w:tr>
      <w:tr>
        <w:tblPrEx>
          <w:tblCellMar>
            <w:top w:w="0" w:type="dxa"/>
            <w:left w:w="108" w:type="dxa"/>
            <w:bottom w:w="0" w:type="dxa"/>
            <w:right w:w="108" w:type="dxa"/>
          </w:tblCellMar>
        </w:tblPrEx>
        <w:trPr>
          <w:trHeight w:val="94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B322.监管措施执行情况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　1</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项目主管部门所制订的监管措施是否有效执行。</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管理制度、现场调查</w:t>
            </w:r>
          </w:p>
        </w:tc>
      </w:tr>
      <w:tr>
        <w:tblPrEx>
          <w:tblCellMar>
            <w:top w:w="0" w:type="dxa"/>
            <w:left w:w="108" w:type="dxa"/>
            <w:bottom w:w="0" w:type="dxa"/>
            <w:right w:w="108" w:type="dxa"/>
          </w:tblCellMar>
        </w:tblPrEx>
        <w:trPr>
          <w:trHeight w:val="88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B323.合同执行情况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考察与项目相关的合同是否有效执行。</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有效执行，得满分；部分执行，得权重的60%；未执行，不得分。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合同、现场调查</w:t>
            </w:r>
          </w:p>
        </w:tc>
      </w:tr>
      <w:tr>
        <w:tblPrEx>
          <w:tblCellMar>
            <w:top w:w="0" w:type="dxa"/>
            <w:left w:w="108" w:type="dxa"/>
            <w:bottom w:w="0" w:type="dxa"/>
            <w:right w:w="108" w:type="dxa"/>
          </w:tblCellMar>
        </w:tblPrEx>
        <w:trPr>
          <w:trHeight w:val="78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B324.台账记录规范性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2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考察项目实施过程中的相关台账记录是否完整，并符合要求。</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规范，得满分；部分规范，得权重的60%；不规范，不得分。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台账记录</w:t>
            </w:r>
          </w:p>
        </w:tc>
      </w:tr>
      <w:tr>
        <w:tblPrEx>
          <w:tblCellMar>
            <w:top w:w="0" w:type="dxa"/>
            <w:left w:w="108" w:type="dxa"/>
            <w:bottom w:w="0" w:type="dxa"/>
            <w:right w:w="108" w:type="dxa"/>
          </w:tblCellMar>
        </w:tblPrEx>
        <w:trPr>
          <w:trHeight w:val="54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B33.政府采购规范性</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B331.采购方式合规性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考察采购方式是否符合中央、省、市的相关要求。</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CellMar>
            <w:top w:w="0" w:type="dxa"/>
            <w:left w:w="108" w:type="dxa"/>
            <w:bottom w:w="0" w:type="dxa"/>
            <w:right w:w="108" w:type="dxa"/>
          </w:tblCellMar>
        </w:tblPrEx>
        <w:trPr>
          <w:trHeight w:val="54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color w:val="000000"/>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B332.采购流程规范性</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color w:val="000000"/>
                <w:kern w:val="0"/>
                <w:sz w:val="18"/>
                <w:szCs w:val="18"/>
              </w:rPr>
            </w:pPr>
            <w:r>
              <w:rPr>
                <w:color w:val="000000"/>
                <w:kern w:val="0"/>
                <w:sz w:val="18"/>
                <w:szCs w:val="18"/>
              </w:rPr>
              <w:t>1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考察采购流程是否符合相关规定。</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符合相关要求，得满分；一项不符合，不得分。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color w:val="000000"/>
                <w:kern w:val="0"/>
                <w:sz w:val="18"/>
                <w:szCs w:val="18"/>
              </w:rPr>
            </w:pPr>
            <w:r>
              <w:rPr>
                <w:color w:val="000000"/>
                <w:kern w:val="0"/>
                <w:sz w:val="18"/>
                <w:szCs w:val="18"/>
              </w:rPr>
              <w:t>政府采购相关材料</w:t>
            </w:r>
          </w:p>
        </w:tc>
      </w:tr>
      <w:tr>
        <w:tblPrEx>
          <w:tblCellMar>
            <w:top w:w="0" w:type="dxa"/>
            <w:left w:w="108" w:type="dxa"/>
            <w:bottom w:w="0" w:type="dxa"/>
            <w:right w:w="108" w:type="dxa"/>
          </w:tblCellMar>
        </w:tblPrEx>
        <w:trPr>
          <w:trHeight w:val="1200" w:hRule="atLeast"/>
        </w:trPr>
        <w:tc>
          <w:tcPr>
            <w:tcW w:w="907"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center"/>
              <w:rPr>
                <w:kern w:val="0"/>
                <w:sz w:val="18"/>
                <w:szCs w:val="18"/>
              </w:rPr>
            </w:pPr>
            <w:r>
              <w:rPr>
                <w:kern w:val="0"/>
                <w:sz w:val="18"/>
                <w:szCs w:val="18"/>
              </w:rPr>
              <w:t>C.项目绩效（60%）</w:t>
            </w:r>
          </w:p>
        </w:tc>
        <w:tc>
          <w:tcPr>
            <w:tcW w:w="902"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r>
              <w:rPr>
                <w:kern w:val="0"/>
                <w:sz w:val="18"/>
                <w:szCs w:val="18"/>
              </w:rPr>
              <w:t>C1.项目产出（30%）</w:t>
            </w: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r>
              <w:rPr>
                <w:kern w:val="0"/>
                <w:sz w:val="18"/>
                <w:szCs w:val="18"/>
              </w:rPr>
              <w:t>C11.媒体宣传情况</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C111.专栏设置情况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9</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9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考察项目执行期间，是否按照审定工作方案开设</w:t>
            </w:r>
            <w:r>
              <w:rPr>
                <w:rFonts w:hint="eastAsia"/>
                <w:kern w:val="0"/>
                <w:sz w:val="18"/>
                <w:szCs w:val="18"/>
              </w:rPr>
              <w:t>“</w:t>
            </w:r>
            <w:r>
              <w:rPr>
                <w:kern w:val="0"/>
                <w:sz w:val="18"/>
                <w:szCs w:val="18"/>
              </w:rPr>
              <w:t>春城创文进行时-我们的创文故事</w:t>
            </w:r>
            <w:r>
              <w:rPr>
                <w:rFonts w:hint="eastAsia"/>
                <w:kern w:val="0"/>
                <w:sz w:val="18"/>
                <w:szCs w:val="18"/>
              </w:rPr>
              <w:t>”</w:t>
            </w:r>
            <w:r>
              <w:rPr>
                <w:kern w:val="0"/>
                <w:sz w:val="18"/>
                <w:szCs w:val="18"/>
              </w:rPr>
              <w:t>专栏。</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已开设，得满分；未开设，扣权重的3%，扣完为止。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报纸版面截图</w:t>
            </w:r>
          </w:p>
        </w:tc>
      </w:tr>
      <w:tr>
        <w:tblPrEx>
          <w:tblCellMar>
            <w:top w:w="0" w:type="dxa"/>
            <w:left w:w="108" w:type="dxa"/>
            <w:bottom w:w="0" w:type="dxa"/>
            <w:right w:w="108" w:type="dxa"/>
          </w:tblCellMar>
        </w:tblPrEx>
        <w:trPr>
          <w:trHeight w:val="825"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C112.稿件刊发情况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7</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7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考察昆明日报版面稿件刊发是否及时，刊发稿件是否紧扣主题，是否为活动的开展起到宣传推广的作用。</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全部按照审定工作方案执行，得满分；存在缺漏的，扣权重的10%，扣完为止。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稿件刊发链接</w:t>
            </w:r>
          </w:p>
        </w:tc>
      </w:tr>
      <w:tr>
        <w:tblPrEx>
          <w:tblCellMar>
            <w:top w:w="0" w:type="dxa"/>
            <w:left w:w="108" w:type="dxa"/>
            <w:bottom w:w="0" w:type="dxa"/>
            <w:right w:w="108" w:type="dxa"/>
          </w:tblCellMar>
        </w:tblPrEx>
        <w:trPr>
          <w:trHeight w:val="123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93" w:type="dxa"/>
            <w:vMerge w:val="restart"/>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r>
              <w:rPr>
                <w:kern w:val="0"/>
                <w:sz w:val="18"/>
                <w:szCs w:val="18"/>
              </w:rPr>
              <w:t>C12.征集活动开展情况</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C121.征文、图片征集情况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5</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5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考察是否按照确认工作方案开展我们的创文故事征文和图片的征集活动，是否紧扣创文主题，是否达到预定预期。</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按照确认工作方案开展，得满分；存在1次不满足的情况，扣权重的3%，扣完为止。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征集作品登记表、报道截图</w:t>
            </w:r>
          </w:p>
        </w:tc>
      </w:tr>
      <w:tr>
        <w:tblPrEx>
          <w:tblCellMar>
            <w:top w:w="0" w:type="dxa"/>
            <w:left w:w="108" w:type="dxa"/>
            <w:bottom w:w="0" w:type="dxa"/>
            <w:right w:w="108" w:type="dxa"/>
          </w:tblCellMar>
        </w:tblPrEx>
        <w:trPr>
          <w:trHeight w:val="78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93"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C1220.作品评审情况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3</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3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考察是否按照确认的工作方案对征集到的作品进行评审。</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按照确认工作方案组织专家进行评审，得满分；存在1次不满足的情况，扣权重的10%，扣完为止。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评审会图片，评委签字的评审表格</w:t>
            </w:r>
          </w:p>
        </w:tc>
      </w:tr>
      <w:tr>
        <w:tblPrEx>
          <w:tblCellMar>
            <w:top w:w="0" w:type="dxa"/>
            <w:left w:w="108" w:type="dxa"/>
            <w:bottom w:w="0" w:type="dxa"/>
            <w:right w:w="108" w:type="dxa"/>
          </w:tblCellMar>
        </w:tblPrEx>
        <w:trPr>
          <w:trHeight w:val="810"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C13.《春城创文进行时-我们的创文故事》汇编印刷情况</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C131.汇编印刷情况</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6</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6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考察是否按照确认工作方案及时完成，汇编画册质量是否符合预期目标，印刷数量是否达标。</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及时、足额、高质量完成，得满分；完成但不及时，得权重的50%；未完成，不得分。</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画册截图</w:t>
            </w:r>
          </w:p>
        </w:tc>
      </w:tr>
      <w:tr>
        <w:tblPrEx>
          <w:tblCellMar>
            <w:top w:w="0" w:type="dxa"/>
            <w:left w:w="108" w:type="dxa"/>
            <w:bottom w:w="0" w:type="dxa"/>
            <w:right w:w="108" w:type="dxa"/>
          </w:tblCellMar>
        </w:tblPrEx>
        <w:trPr>
          <w:trHeight w:val="529"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restart"/>
            <w:tcBorders>
              <w:top w:val="nil"/>
              <w:left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C2.项目效益（30%）</w:t>
            </w:r>
          </w:p>
        </w:tc>
        <w:tc>
          <w:tcPr>
            <w:tcW w:w="993" w:type="dxa"/>
            <w:vMerge w:val="restart"/>
            <w:tcBorders>
              <w:top w:val="nil"/>
              <w:left w:val="nil"/>
              <w:right w:val="single" w:color="auto" w:sz="4" w:space="0"/>
            </w:tcBorders>
            <w:noWrap w:val="0"/>
            <w:vAlign w:val="center"/>
          </w:tcPr>
          <w:p>
            <w:pPr>
              <w:widowControl/>
              <w:spacing w:line="0" w:lineRule="atLeast"/>
              <w:jc w:val="left"/>
              <w:rPr>
                <w:kern w:val="0"/>
                <w:sz w:val="18"/>
                <w:szCs w:val="18"/>
              </w:rPr>
            </w:pPr>
            <w:r>
              <w:rPr>
                <w:kern w:val="0"/>
                <w:sz w:val="18"/>
                <w:szCs w:val="18"/>
              </w:rPr>
              <w:t>C21.社会效益</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C211.新闻宣传</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10</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9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在重要时段、重要版面，对宣传征集活动进行充分、立体地宣传报道，做到最大限度地全覆盖。</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社会效益好，满意度高，得满分；存在1次不能满足的情况，扣权重的30%，扣完为止。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社会反馈</w:t>
            </w:r>
          </w:p>
        </w:tc>
      </w:tr>
      <w:tr>
        <w:tblPrEx>
          <w:tblCellMar>
            <w:top w:w="0" w:type="dxa"/>
            <w:left w:w="108" w:type="dxa"/>
            <w:bottom w:w="0" w:type="dxa"/>
            <w:right w:w="108" w:type="dxa"/>
          </w:tblCellMar>
        </w:tblPrEx>
        <w:trPr>
          <w:trHeight w:val="347"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left w:val="single" w:color="auto" w:sz="4" w:space="0"/>
              <w:right w:val="single" w:color="auto" w:sz="4" w:space="0"/>
            </w:tcBorders>
            <w:noWrap w:val="0"/>
            <w:vAlign w:val="center"/>
          </w:tcPr>
          <w:p>
            <w:pPr>
              <w:widowControl/>
              <w:spacing w:line="0" w:lineRule="atLeast"/>
              <w:jc w:val="left"/>
              <w:rPr>
                <w:kern w:val="0"/>
                <w:sz w:val="18"/>
                <w:szCs w:val="18"/>
              </w:rPr>
            </w:pPr>
          </w:p>
        </w:tc>
        <w:tc>
          <w:tcPr>
            <w:tcW w:w="993" w:type="dxa"/>
            <w:vMerge w:val="continue"/>
            <w:tcBorders>
              <w:left w:val="nil"/>
              <w:bottom w:val="single" w:color="auto" w:sz="4" w:space="0"/>
              <w:right w:val="single" w:color="auto" w:sz="4" w:space="0"/>
            </w:tcBorders>
            <w:noWrap w:val="0"/>
            <w:vAlign w:val="center"/>
          </w:tcPr>
          <w:p>
            <w:pPr>
              <w:widowControl/>
              <w:spacing w:line="0" w:lineRule="atLeast"/>
              <w:jc w:val="left"/>
              <w:rPr>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C212.社会反响</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5</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4</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互动性与参与性强，通过征集评选挖掘先进典型，丰富创文故事，生动展现城市文明。</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社会效益好，满意度高，得满分；存在1次不能满足的情况，扣权重的30%，扣完为止。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社会反馈</w:t>
            </w:r>
          </w:p>
        </w:tc>
      </w:tr>
      <w:tr>
        <w:tblPrEx>
          <w:tblCellMar>
            <w:top w:w="0" w:type="dxa"/>
            <w:left w:w="108" w:type="dxa"/>
            <w:bottom w:w="0" w:type="dxa"/>
            <w:right w:w="108" w:type="dxa"/>
          </w:tblCellMar>
        </w:tblPrEx>
        <w:trPr>
          <w:trHeight w:val="544" w:hRule="atLeast"/>
        </w:trPr>
        <w:tc>
          <w:tcPr>
            <w:tcW w:w="907" w:type="dxa"/>
            <w:vMerge w:val="continue"/>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left w:val="single" w:color="auto" w:sz="4" w:space="0"/>
              <w:right w:val="single" w:color="auto" w:sz="4" w:space="0"/>
            </w:tcBorders>
            <w:noWrap w:val="0"/>
            <w:vAlign w:val="center"/>
          </w:tcPr>
          <w:p>
            <w:pPr>
              <w:widowControl/>
              <w:spacing w:line="0" w:lineRule="atLeast"/>
              <w:jc w:val="left"/>
              <w:rPr>
                <w:kern w:val="0"/>
                <w:sz w:val="18"/>
                <w:szCs w:val="18"/>
              </w:rPr>
            </w:pPr>
          </w:p>
        </w:tc>
        <w:tc>
          <w:tcPr>
            <w:tcW w:w="993" w:type="dxa"/>
            <w:vMerge w:val="restart"/>
            <w:tcBorders>
              <w:top w:val="nil"/>
              <w:left w:val="nil"/>
              <w:right w:val="single" w:color="auto" w:sz="4" w:space="0"/>
            </w:tcBorders>
            <w:noWrap w:val="0"/>
            <w:vAlign w:val="center"/>
          </w:tcPr>
          <w:p>
            <w:pPr>
              <w:widowControl/>
              <w:spacing w:line="0" w:lineRule="atLeast"/>
              <w:jc w:val="left"/>
              <w:rPr>
                <w:kern w:val="0"/>
                <w:sz w:val="18"/>
                <w:szCs w:val="18"/>
              </w:rPr>
            </w:pPr>
            <w:r>
              <w:rPr>
                <w:kern w:val="0"/>
                <w:sz w:val="18"/>
                <w:szCs w:val="18"/>
              </w:rPr>
              <w:t>C22.可持续影响</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C221.舆论导向</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10</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10　</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紧紧围绕征集活动进行宣传报道，导向鲜明，营造浓厚氛围，充分调动群众参与积极性。</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可持续影响好，满意度高，得满分；存在1次不能满足的情况，扣权重的30%，扣完为止。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社会反馈</w:t>
            </w:r>
          </w:p>
        </w:tc>
      </w:tr>
      <w:tr>
        <w:tblPrEx>
          <w:tblCellMar>
            <w:top w:w="0" w:type="dxa"/>
            <w:left w:w="108" w:type="dxa"/>
            <w:bottom w:w="0" w:type="dxa"/>
            <w:right w:w="108" w:type="dxa"/>
          </w:tblCellMar>
        </w:tblPrEx>
        <w:trPr>
          <w:trHeight w:val="2004" w:hRule="atLeast"/>
        </w:trPr>
        <w:tc>
          <w:tcPr>
            <w:tcW w:w="907" w:type="dxa"/>
            <w:tcBorders>
              <w:top w:val="nil"/>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02" w:type="dxa"/>
            <w:vMerge w:val="continue"/>
            <w:tcBorders>
              <w:left w:val="single" w:color="auto" w:sz="4" w:space="0"/>
              <w:bottom w:val="single" w:color="000000" w:sz="4" w:space="0"/>
              <w:right w:val="single" w:color="auto" w:sz="4" w:space="0"/>
            </w:tcBorders>
            <w:noWrap w:val="0"/>
            <w:vAlign w:val="center"/>
          </w:tcPr>
          <w:p>
            <w:pPr>
              <w:widowControl/>
              <w:spacing w:line="0" w:lineRule="atLeast"/>
              <w:jc w:val="left"/>
              <w:rPr>
                <w:kern w:val="0"/>
                <w:sz w:val="18"/>
                <w:szCs w:val="18"/>
              </w:rPr>
            </w:pPr>
          </w:p>
        </w:tc>
        <w:tc>
          <w:tcPr>
            <w:tcW w:w="993" w:type="dxa"/>
            <w:vMerge w:val="continue"/>
            <w:tcBorders>
              <w:left w:val="nil"/>
              <w:bottom w:val="single" w:color="auto" w:sz="4" w:space="0"/>
              <w:right w:val="single" w:color="auto" w:sz="4" w:space="0"/>
            </w:tcBorders>
            <w:noWrap w:val="0"/>
            <w:vAlign w:val="center"/>
          </w:tcPr>
          <w:p>
            <w:pPr>
              <w:widowControl/>
              <w:spacing w:line="0" w:lineRule="atLeast"/>
              <w:jc w:val="left"/>
              <w:rPr>
                <w:kern w:val="0"/>
                <w:sz w:val="18"/>
                <w:szCs w:val="18"/>
              </w:rPr>
            </w:pP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C222.营造舆论氛围</w:t>
            </w:r>
          </w:p>
        </w:tc>
        <w:tc>
          <w:tcPr>
            <w:tcW w:w="499"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5</w:t>
            </w:r>
          </w:p>
        </w:tc>
        <w:tc>
          <w:tcPr>
            <w:tcW w:w="566" w:type="dxa"/>
            <w:tcBorders>
              <w:top w:val="nil"/>
              <w:left w:val="nil"/>
              <w:bottom w:val="single" w:color="auto" w:sz="4" w:space="0"/>
              <w:right w:val="single" w:color="auto" w:sz="4" w:space="0"/>
            </w:tcBorders>
            <w:noWrap w:val="0"/>
            <w:vAlign w:val="center"/>
          </w:tcPr>
          <w:p>
            <w:pPr>
              <w:widowControl/>
              <w:spacing w:line="0" w:lineRule="atLeast"/>
              <w:jc w:val="center"/>
              <w:rPr>
                <w:kern w:val="0"/>
                <w:sz w:val="18"/>
                <w:szCs w:val="18"/>
              </w:rPr>
            </w:pPr>
            <w:r>
              <w:rPr>
                <w:kern w:val="0"/>
                <w:sz w:val="18"/>
                <w:szCs w:val="18"/>
              </w:rPr>
              <w:t>5</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面向创文一线工作人员、市民和各行各业代表公开征集，并向中央、驻滇、省、市主流媒体约稿，动员创文指挥部成员单位、相关部门和行业、主城区等积极参与征集活动。营造人人参与的浓厚氛围。</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可持续影响好，满意度高，得满分；存在1次不能满足的情况，扣权重的30%，扣完为止。</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kern w:val="0"/>
                <w:sz w:val="18"/>
                <w:szCs w:val="18"/>
              </w:rPr>
            </w:pPr>
            <w:r>
              <w:rPr>
                <w:kern w:val="0"/>
                <w:sz w:val="18"/>
                <w:szCs w:val="18"/>
              </w:rPr>
              <w:t>社会反馈</w:t>
            </w:r>
          </w:p>
        </w:tc>
      </w:tr>
      <w:tr>
        <w:tblPrEx>
          <w:tblCellMar>
            <w:top w:w="0" w:type="dxa"/>
            <w:left w:w="108" w:type="dxa"/>
            <w:bottom w:w="0" w:type="dxa"/>
            <w:right w:w="108" w:type="dxa"/>
          </w:tblCellMar>
        </w:tblPrEx>
        <w:trPr>
          <w:trHeight w:val="540" w:hRule="atLeast"/>
        </w:trPr>
        <w:tc>
          <w:tcPr>
            <w:tcW w:w="907"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合计</w:t>
            </w:r>
          </w:p>
        </w:tc>
        <w:tc>
          <w:tcPr>
            <w:tcW w:w="902"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100%</w:t>
            </w:r>
          </w:p>
        </w:tc>
        <w:tc>
          <w:tcPr>
            <w:tcW w:w="993"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　</w:t>
            </w:r>
          </w:p>
        </w:tc>
        <w:tc>
          <w:tcPr>
            <w:tcW w:w="1295"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　</w:t>
            </w:r>
          </w:p>
        </w:tc>
        <w:tc>
          <w:tcPr>
            <w:tcW w:w="499"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100分</w:t>
            </w:r>
          </w:p>
        </w:tc>
        <w:tc>
          <w:tcPr>
            <w:tcW w:w="566"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98分</w:t>
            </w:r>
          </w:p>
        </w:tc>
        <w:tc>
          <w:tcPr>
            <w:tcW w:w="2085"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　</w:t>
            </w:r>
          </w:p>
        </w:tc>
        <w:tc>
          <w:tcPr>
            <w:tcW w:w="1792"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　</w:t>
            </w:r>
          </w:p>
        </w:tc>
        <w:tc>
          <w:tcPr>
            <w:tcW w:w="1373" w:type="dxa"/>
            <w:tcBorders>
              <w:top w:val="nil"/>
              <w:left w:val="nil"/>
              <w:bottom w:val="single" w:color="auto" w:sz="4" w:space="0"/>
              <w:right w:val="single" w:color="auto" w:sz="4" w:space="0"/>
            </w:tcBorders>
            <w:noWrap w:val="0"/>
            <w:vAlign w:val="center"/>
          </w:tcPr>
          <w:p>
            <w:pPr>
              <w:widowControl/>
              <w:spacing w:line="0" w:lineRule="atLeast"/>
              <w:jc w:val="left"/>
              <w:rPr>
                <w:b/>
                <w:bCs/>
                <w:kern w:val="0"/>
                <w:sz w:val="18"/>
                <w:szCs w:val="18"/>
              </w:rPr>
            </w:pPr>
            <w:r>
              <w:rPr>
                <w:b/>
                <w:bCs/>
                <w:kern w:val="0"/>
                <w:sz w:val="18"/>
                <w:szCs w:val="18"/>
              </w:rPr>
              <w:t>　</w:t>
            </w:r>
          </w:p>
        </w:tc>
      </w:tr>
    </w:tbl>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E0218"/>
    <w:rsid w:val="025E0218"/>
    <w:rsid w:val="29BA02BD"/>
    <w:rsid w:val="2AF33F26"/>
    <w:rsid w:val="41432A87"/>
    <w:rsid w:val="4E607A54"/>
    <w:rsid w:val="5E1A2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A"/>
    <w:qFormat/>
    <w:uiPriority w:val="99"/>
    <w:pPr>
      <w:spacing w:after="200" w:line="276" w:lineRule="auto"/>
    </w:pPr>
    <w:rPr>
      <w:rFonts w:ascii="Calibri" w:hAnsi="Calibri" w:eastAsia="宋体" w:cs="Calibri"/>
      <w:color w:val="000000"/>
      <w:sz w:val="22"/>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2021-08-20T06:36:00Z</dcterms:created>
  <dc:creator>翎Zz</dc:creator>
  <cp:lastModifiedBy>吃橘子不怕橘子酸</cp:lastModifiedBy>
  <dcterms:modified xsi:type="dcterms:W3CDTF">2021-08-23T08:42:29Z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FD684050308F4A429040300C21E1A673</vt:lpwstr>
  </property>
</Properties>
</file>