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32"/>
          <w:szCs w:val="32"/>
        </w:rPr>
      </w:pPr>
      <w:bookmarkStart w:id="1" w:name="_GoBack"/>
      <w:bookmarkStart w:id="0" w:name="_Toc14594"/>
      <w:r>
        <w:rPr>
          <w:rFonts w:hint="eastAsia" w:ascii="方正小标宋简体" w:hAnsi="方正小标宋简体" w:eastAsia="方正小标宋简体" w:cs="方正小标宋简体"/>
          <w:bCs/>
          <w:sz w:val="32"/>
          <w:szCs w:val="32"/>
        </w:rPr>
        <w:t>互联网及新媒体工作专项经费（2020中国融媒体发展论坛）</w:t>
      </w:r>
    </w:p>
    <w:p>
      <w:pPr>
        <w:spacing w:line="56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项目支出绩效</w:t>
      </w:r>
      <w:bookmarkEnd w:id="0"/>
      <w:r>
        <w:rPr>
          <w:rFonts w:hint="eastAsia" w:ascii="方正小标宋简体" w:hAnsi="方正小标宋简体" w:eastAsia="方正小标宋简体" w:cs="方正小标宋简体"/>
          <w:bCs/>
          <w:sz w:val="32"/>
          <w:szCs w:val="32"/>
        </w:rPr>
        <w:t>评分表</w:t>
      </w:r>
    </w:p>
    <w:bookmarkEnd w:id="1"/>
    <w:tbl>
      <w:tblPr>
        <w:tblStyle w:val="4"/>
        <w:tblW w:w="10551" w:type="dxa"/>
        <w:jc w:val="center"/>
        <w:tblLayout w:type="fixed"/>
        <w:tblCellMar>
          <w:top w:w="0" w:type="dxa"/>
          <w:left w:w="108" w:type="dxa"/>
          <w:bottom w:w="0" w:type="dxa"/>
          <w:right w:w="108" w:type="dxa"/>
        </w:tblCellMar>
      </w:tblPr>
      <w:tblGrid>
        <w:gridCol w:w="846"/>
        <w:gridCol w:w="970"/>
        <w:gridCol w:w="1143"/>
        <w:gridCol w:w="1091"/>
        <w:gridCol w:w="499"/>
        <w:gridCol w:w="568"/>
        <w:gridCol w:w="2104"/>
        <w:gridCol w:w="1974"/>
        <w:gridCol w:w="1356"/>
      </w:tblGrid>
      <w:tr>
        <w:tblPrEx>
          <w:tblCellMar>
            <w:top w:w="0" w:type="dxa"/>
            <w:left w:w="108" w:type="dxa"/>
            <w:bottom w:w="0" w:type="dxa"/>
            <w:right w:w="108" w:type="dxa"/>
          </w:tblCellMar>
        </w:tblPrEx>
        <w:trPr>
          <w:trHeight w:val="54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一级</w:t>
            </w:r>
          </w:p>
          <w:p>
            <w:pPr>
              <w:widowControl/>
              <w:spacing w:line="0" w:lineRule="atLeast"/>
              <w:jc w:val="center"/>
              <w:rPr>
                <w:b/>
                <w:bCs/>
                <w:color w:val="000000"/>
                <w:kern w:val="0"/>
                <w:sz w:val="18"/>
                <w:szCs w:val="18"/>
              </w:rPr>
            </w:pPr>
            <w:r>
              <w:rPr>
                <w:b/>
                <w:bCs/>
                <w:color w:val="000000"/>
                <w:kern w:val="0"/>
                <w:sz w:val="18"/>
                <w:szCs w:val="18"/>
              </w:rPr>
              <w:t>指标</w:t>
            </w:r>
          </w:p>
        </w:tc>
        <w:tc>
          <w:tcPr>
            <w:tcW w:w="97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二级指标</w:t>
            </w:r>
          </w:p>
        </w:tc>
        <w:tc>
          <w:tcPr>
            <w:tcW w:w="114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三级指标</w:t>
            </w:r>
          </w:p>
        </w:tc>
        <w:tc>
          <w:tcPr>
            <w:tcW w:w="1091"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四级指标</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分值</w:t>
            </w:r>
          </w:p>
        </w:tc>
        <w:tc>
          <w:tcPr>
            <w:tcW w:w="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得分</w:t>
            </w:r>
          </w:p>
        </w:tc>
        <w:tc>
          <w:tcPr>
            <w:tcW w:w="210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指标解释</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评分标准</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数据来源</w:t>
            </w:r>
          </w:p>
        </w:tc>
      </w:tr>
      <w:tr>
        <w:tblPrEx>
          <w:tblCellMar>
            <w:top w:w="0" w:type="dxa"/>
            <w:left w:w="108" w:type="dxa"/>
            <w:bottom w:w="0" w:type="dxa"/>
            <w:right w:w="108" w:type="dxa"/>
          </w:tblCellMar>
        </w:tblPrEx>
        <w:trPr>
          <w:trHeight w:val="900" w:hRule="atLeast"/>
          <w:jc w:val="center"/>
        </w:trPr>
        <w:tc>
          <w:tcPr>
            <w:tcW w:w="846"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A.项目决策（20%）</w:t>
            </w:r>
          </w:p>
        </w:tc>
        <w:tc>
          <w:tcPr>
            <w:tcW w:w="970"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A1.项目立项（8%）</w:t>
            </w:r>
          </w:p>
        </w:tc>
        <w:tc>
          <w:tcPr>
            <w:tcW w:w="114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A11.与部门中长期规划目标适应性</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A111.与部门中长期规划目标匹配性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考察项目与部门中长期目标是否匹配</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匹配，得满分；不匹配，不得分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部门中长期规划目标</w:t>
            </w:r>
          </w:p>
        </w:tc>
      </w:tr>
      <w:tr>
        <w:tblPrEx>
          <w:tblCellMar>
            <w:top w:w="0" w:type="dxa"/>
            <w:left w:w="108" w:type="dxa"/>
            <w:bottom w:w="0" w:type="dxa"/>
            <w:right w:w="108" w:type="dxa"/>
          </w:tblCellMar>
        </w:tblPrEx>
        <w:trPr>
          <w:trHeight w:val="105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A12.立项依据充分性</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A121.与市政府相关规划、决策匹配性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考察项目是否符合市政府相关发展规划和政府决策</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符合，得满分；不符合，不得分。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市政府相关规划、决策、批复</w:t>
            </w:r>
          </w:p>
        </w:tc>
      </w:tr>
      <w:tr>
        <w:tblPrEx>
          <w:tblCellMar>
            <w:top w:w="0" w:type="dxa"/>
            <w:left w:w="108" w:type="dxa"/>
            <w:bottom w:w="0" w:type="dxa"/>
            <w:right w:w="108" w:type="dxa"/>
          </w:tblCellMar>
        </w:tblPrEx>
        <w:trPr>
          <w:trHeight w:val="54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A122.与部门职责适应性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考察项目是否与部门职责密切相关。</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部门职责文件</w:t>
            </w:r>
          </w:p>
        </w:tc>
      </w:tr>
      <w:tr>
        <w:tblPrEx>
          <w:tblCellMar>
            <w:top w:w="0" w:type="dxa"/>
            <w:left w:w="108" w:type="dxa"/>
            <w:bottom w:w="0" w:type="dxa"/>
            <w:right w:w="108" w:type="dxa"/>
          </w:tblCellMar>
        </w:tblPrEx>
        <w:trPr>
          <w:trHeight w:val="54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A13.项目立项规范性</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A131.前期调研情况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考察项目立项是否经过前期调研。</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调研报告</w:t>
            </w:r>
          </w:p>
        </w:tc>
      </w:tr>
      <w:tr>
        <w:tblPrEx>
          <w:tblCellMar>
            <w:top w:w="0" w:type="dxa"/>
            <w:left w:w="108" w:type="dxa"/>
            <w:bottom w:w="0" w:type="dxa"/>
            <w:right w:w="108" w:type="dxa"/>
          </w:tblCellMar>
        </w:tblPrEx>
        <w:trPr>
          <w:trHeight w:val="54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A132.立项程序规范性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考察项目的申请、设立过程是否符合相关要求。</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立项申请、批复文件</w:t>
            </w:r>
          </w:p>
        </w:tc>
      </w:tr>
      <w:tr>
        <w:tblPrEx>
          <w:tblCellMar>
            <w:top w:w="0" w:type="dxa"/>
            <w:left w:w="108" w:type="dxa"/>
            <w:bottom w:w="0" w:type="dxa"/>
            <w:right w:w="108" w:type="dxa"/>
          </w:tblCellMar>
        </w:tblPrEx>
        <w:trPr>
          <w:trHeight w:val="91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A2.项目目标（12%）</w:t>
            </w:r>
          </w:p>
        </w:tc>
        <w:tc>
          <w:tcPr>
            <w:tcW w:w="114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A21.绩效目标设定的合理性</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A211.绩效目标相关性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考察设定的绩效目标是否与事业发展规划相关。</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绩效目标申报表、部门规划、年度工作目标</w:t>
            </w:r>
          </w:p>
        </w:tc>
      </w:tr>
      <w:tr>
        <w:tblPrEx>
          <w:tblCellMar>
            <w:top w:w="0" w:type="dxa"/>
            <w:left w:w="108" w:type="dxa"/>
            <w:bottom w:w="0" w:type="dxa"/>
            <w:right w:w="108" w:type="dxa"/>
          </w:tblCellMar>
        </w:tblPrEx>
        <w:trPr>
          <w:trHeight w:val="108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A212.绩效目标完整性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考察设定的绩效目标是否完整地反应预期产出和效果</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绩效目标申报表、年度工作目标、立项申请、批复文件</w:t>
            </w:r>
          </w:p>
        </w:tc>
      </w:tr>
      <w:tr>
        <w:tblPrEx>
          <w:tblCellMar>
            <w:top w:w="0" w:type="dxa"/>
            <w:left w:w="108" w:type="dxa"/>
            <w:bottom w:w="0" w:type="dxa"/>
            <w:right w:w="108" w:type="dxa"/>
          </w:tblCellMar>
        </w:tblPrEx>
        <w:trPr>
          <w:trHeight w:val="82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A213.目标与预算的匹配性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考察设定的绩效目标是否与年度预算相匹配。</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79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A22.绩效指标设定的明确性</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A221.指标细化分解情况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考察是否将绩效目标细化分解为清晰、可衡量的绩效指标。</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885"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A222.指标与目标的匹配性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考察设定的绩效指标是否与年度工作任务相对应。</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绩效目标申报表、年度工作任务</w:t>
            </w:r>
          </w:p>
        </w:tc>
      </w:tr>
      <w:tr>
        <w:tblPrEx>
          <w:tblCellMar>
            <w:top w:w="0" w:type="dxa"/>
            <w:left w:w="108" w:type="dxa"/>
            <w:bottom w:w="0" w:type="dxa"/>
            <w:right w:w="108" w:type="dxa"/>
          </w:tblCellMar>
        </w:tblPrEx>
        <w:trPr>
          <w:trHeight w:val="720"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B.项目管理（20%）</w:t>
            </w: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B1.投入管理（4%）</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B11.预算编制合理性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考察预算编制是否充分、合理的预计项目支出并完整反应</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合理得满分；存在一项不合理，扣0.5分，扣完为止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预算分析、预算批复</w:t>
            </w:r>
          </w:p>
        </w:tc>
      </w:tr>
      <w:tr>
        <w:tblPrEx>
          <w:tblCellMar>
            <w:top w:w="0" w:type="dxa"/>
            <w:left w:w="108" w:type="dxa"/>
            <w:bottom w:w="0" w:type="dxa"/>
            <w:right w:w="108" w:type="dxa"/>
          </w:tblCellMar>
        </w:tblPrEx>
        <w:trPr>
          <w:trHeight w:val="81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B12.预算调整规范性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考察存在预算调整时是否按照相关规定执行调整程序。</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规范，得满分；部分规范，扣0.5分；不规范，不得分。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预算调整文件</w:t>
            </w:r>
          </w:p>
        </w:tc>
      </w:tr>
      <w:tr>
        <w:tblPrEx>
          <w:tblCellMar>
            <w:top w:w="0" w:type="dxa"/>
            <w:left w:w="108" w:type="dxa"/>
            <w:bottom w:w="0" w:type="dxa"/>
            <w:right w:w="108" w:type="dxa"/>
          </w:tblCellMar>
        </w:tblPrEx>
        <w:trPr>
          <w:trHeight w:val="123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B13.预算执行率</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考察项目预算执行的进度。预算执行率=实际支出金额/项目预算金额×100%</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预算执行率95%以上，得满分；低于95%，每下降1%扣权重的1%；预算执行率60%以下，不计分。</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589"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B2.财务管理（6%）</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B21.资金使用情况</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考察项目资金使用是否符合预算批复的用途，是否存在截留、挤占、挪用、虚列支出等情况。</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合规，得满分；存在一项不合规，扣1分，扣完为止。</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22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B22.财务管理制度健全性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考察项目的财务制度是否健全、完善、有效。</w:t>
            </w:r>
          </w:p>
        </w:tc>
        <w:tc>
          <w:tcPr>
            <w:tcW w:w="1974" w:type="dxa"/>
            <w:tcBorders>
              <w:top w:val="nil"/>
              <w:left w:val="nil"/>
              <w:bottom w:val="single" w:color="auto" w:sz="4" w:space="0"/>
              <w:right w:val="single" w:color="auto" w:sz="4" w:space="0"/>
            </w:tcBorders>
            <w:noWrap w:val="0"/>
            <w:vAlign w:val="top"/>
          </w:tcPr>
          <w:p>
            <w:pPr>
              <w:widowControl/>
              <w:spacing w:line="0" w:lineRule="atLeast"/>
              <w:jc w:val="left"/>
              <w:rPr>
                <w:color w:val="000000"/>
                <w:kern w:val="0"/>
                <w:sz w:val="18"/>
                <w:szCs w:val="18"/>
              </w:rPr>
            </w:pPr>
            <w:r>
              <w:rPr>
                <w:color w:val="000000"/>
                <w:kern w:val="0"/>
                <w:sz w:val="18"/>
                <w:szCs w:val="18"/>
              </w:rPr>
              <w:t>a.是否已制定或具有相应的财务管理办法；                         b.项目财务管理办法是否符合相关财务会计制度的规定；                                              c.是否存在需要完善的风险控制环节。                            符合所有条件，得满分； 一项不符合，扣0.5分，扣完为止。</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w:t>
            </w:r>
          </w:p>
        </w:tc>
      </w:tr>
      <w:tr>
        <w:tblPrEx>
          <w:tblCellMar>
            <w:top w:w="0" w:type="dxa"/>
            <w:left w:w="108" w:type="dxa"/>
            <w:bottom w:w="0" w:type="dxa"/>
            <w:right w:w="108" w:type="dxa"/>
          </w:tblCellMar>
        </w:tblPrEx>
        <w:trPr>
          <w:trHeight w:val="381"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B23.财务监控有效性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B231.资金拨付程序完整性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考察资金拨付是否具有完整的审批程序和手续，是否符合相关制度规定。</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资金拨付申请、审批手续完整，得满分；存在一例手续不完整，不得分。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支付申请单、支付指令</w:t>
            </w:r>
          </w:p>
        </w:tc>
      </w:tr>
      <w:tr>
        <w:tblPrEx>
          <w:tblCellMar>
            <w:top w:w="0" w:type="dxa"/>
            <w:left w:w="108" w:type="dxa"/>
            <w:bottom w:w="0" w:type="dxa"/>
            <w:right w:w="108" w:type="dxa"/>
          </w:tblCellMar>
        </w:tblPrEx>
        <w:trPr>
          <w:trHeight w:val="75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B232财务制度执行有效性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考察是否存在违反相关财务管理制度的情况。</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不存在，得满分；存在1例，不得分。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财务管理制度、访谈、会计凭证</w:t>
            </w:r>
          </w:p>
        </w:tc>
      </w:tr>
      <w:tr>
        <w:tblPrEx>
          <w:tblCellMar>
            <w:top w:w="0" w:type="dxa"/>
            <w:left w:w="108" w:type="dxa"/>
            <w:bottom w:w="0" w:type="dxa"/>
            <w:right w:w="108" w:type="dxa"/>
          </w:tblCellMar>
        </w:tblPrEx>
        <w:trPr>
          <w:trHeight w:val="120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B3.项目实施（10%）</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B31.项目管理制度健全性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B311.项目实施单位管理制度健全性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项目实施单位为保障项目顺利实施制订的与项目直接相关的业务管理制度是否健全、完善和有效。</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制订相关制度或采取措施，得满分；制度不完善或者措施不明确，得权重的60%；没有相关制度或措施，不得分。</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项目实施单位管理制度、访谈、现场调查</w:t>
            </w:r>
          </w:p>
        </w:tc>
      </w:tr>
      <w:tr>
        <w:tblPrEx>
          <w:tblCellMar>
            <w:top w:w="0" w:type="dxa"/>
            <w:left w:w="108" w:type="dxa"/>
            <w:bottom w:w="0" w:type="dxa"/>
            <w:right w:w="108" w:type="dxa"/>
          </w:tblCellMar>
        </w:tblPrEx>
        <w:trPr>
          <w:trHeight w:val="97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B312.管理方监管措施健全性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考察项目主管部门为保障项目顺利实施采取的监管措施是否明确，是否存在需要完善的风险控制环节。</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监管措施明确、完善，得满分；每存在一项需要完善的风险控制点，扣权重的30%，扣完为止。</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管理制度、访谈、现场调查</w:t>
            </w:r>
          </w:p>
        </w:tc>
      </w:tr>
      <w:tr>
        <w:tblPrEx>
          <w:tblCellMar>
            <w:top w:w="0" w:type="dxa"/>
            <w:left w:w="108" w:type="dxa"/>
            <w:bottom w:w="0" w:type="dxa"/>
            <w:right w:w="108" w:type="dxa"/>
          </w:tblCellMar>
        </w:tblPrEx>
        <w:trPr>
          <w:trHeight w:val="88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B32.项目管理制度执行有效性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B321.项目实施单位管理制度执行情况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考察项目实施单位制订的管理制度是否有效执行。</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项目实施单位管理制度、现场调查</w:t>
            </w:r>
          </w:p>
        </w:tc>
      </w:tr>
      <w:tr>
        <w:tblPrEx>
          <w:tblCellMar>
            <w:top w:w="0" w:type="dxa"/>
            <w:left w:w="108" w:type="dxa"/>
            <w:bottom w:w="0" w:type="dxa"/>
            <w:right w:w="108" w:type="dxa"/>
          </w:tblCellMar>
        </w:tblPrEx>
        <w:trPr>
          <w:trHeight w:val="945" w:hRule="atLeast"/>
          <w:jc w:val="center"/>
        </w:trPr>
        <w:tc>
          <w:tcPr>
            <w:tcW w:w="84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B322.监管措施执行情况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项目主管部门所制订的监管措施是否有效执行。</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管理制度、现场调查</w:t>
            </w:r>
          </w:p>
        </w:tc>
      </w:tr>
      <w:tr>
        <w:tblPrEx>
          <w:tblCellMar>
            <w:top w:w="0" w:type="dxa"/>
            <w:left w:w="108" w:type="dxa"/>
            <w:bottom w:w="0" w:type="dxa"/>
            <w:right w:w="108" w:type="dxa"/>
          </w:tblCellMar>
        </w:tblPrEx>
        <w:trPr>
          <w:trHeight w:val="885"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B323.合同执行情况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考察与项目相关的合同是否有效执行。</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合同、现场调查</w:t>
            </w:r>
          </w:p>
        </w:tc>
      </w:tr>
      <w:tr>
        <w:tblPrEx>
          <w:tblCellMar>
            <w:top w:w="0" w:type="dxa"/>
            <w:left w:w="108" w:type="dxa"/>
            <w:bottom w:w="0" w:type="dxa"/>
            <w:right w:w="108" w:type="dxa"/>
          </w:tblCellMar>
        </w:tblPrEx>
        <w:trPr>
          <w:trHeight w:val="78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B324.台账记录规范性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考察项目实施过程中的相关台账记录是否完整，并符合要求。</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规范，得满分；部分规范，得权重的60%；不规范，不得分。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540"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B33.政府采购规范性</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B331.采购方式合规性</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考察采购方式是否符合中央、省、市的相关要求。</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CellMar>
            <w:top w:w="0" w:type="dxa"/>
            <w:left w:w="108" w:type="dxa"/>
            <w:bottom w:w="0" w:type="dxa"/>
            <w:right w:w="108" w:type="dxa"/>
          </w:tblCellMar>
        </w:tblPrEx>
        <w:trPr>
          <w:trHeight w:val="540" w:hRule="atLeast"/>
          <w:jc w:val="center"/>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B332.采购流程规范性</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考察采购流程是否符合相关规定。</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CellMar>
            <w:top w:w="0" w:type="dxa"/>
            <w:left w:w="108" w:type="dxa"/>
            <w:bottom w:w="0" w:type="dxa"/>
            <w:right w:w="108" w:type="dxa"/>
          </w:tblCellMar>
        </w:tblPrEx>
        <w:trPr>
          <w:trHeight w:val="1200"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C.项目绩效（60%）</w:t>
            </w: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C1.项目产出（30%）（说明：该指标主要反映部门（单位）项目工作任务的完成情况。）</w:t>
            </w: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C11.推动媒体融合完成情况</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C111.开幕式完成情况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考察2020中国融媒体发展论坛开幕式完成情况。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全部完成，得满分；部分执行，扣权重的3%，扣完为止。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82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C112.启动仪式完成情况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w:t>
            </w:r>
            <w:r>
              <w:rPr>
                <w:rFonts w:hint="eastAsia"/>
                <w:color w:val="000000"/>
                <w:kern w:val="0"/>
                <w:sz w:val="18"/>
                <w:szCs w:val="18"/>
              </w:rPr>
              <w:t>“</w:t>
            </w:r>
            <w:r>
              <w:rPr>
                <w:color w:val="000000"/>
                <w:kern w:val="0"/>
                <w:sz w:val="18"/>
                <w:szCs w:val="18"/>
              </w:rPr>
              <w:t>春城之约</w:t>
            </w:r>
            <w:r>
              <w:rPr>
                <w:rFonts w:hint="eastAsia"/>
                <w:color w:val="000000"/>
                <w:kern w:val="0"/>
                <w:sz w:val="18"/>
                <w:szCs w:val="18"/>
              </w:rPr>
              <w:t>”</w:t>
            </w:r>
            <w:r>
              <w:rPr>
                <w:color w:val="000000"/>
                <w:kern w:val="0"/>
                <w:sz w:val="18"/>
                <w:szCs w:val="18"/>
              </w:rPr>
              <w:t>全国媒体看昆明直播活动暨</w:t>
            </w:r>
            <w:r>
              <w:rPr>
                <w:rFonts w:hint="eastAsia"/>
                <w:color w:val="000000"/>
                <w:kern w:val="0"/>
                <w:sz w:val="18"/>
                <w:szCs w:val="18"/>
              </w:rPr>
              <w:t>COP</w:t>
            </w:r>
            <w:r>
              <w:rPr>
                <w:color w:val="000000"/>
                <w:kern w:val="0"/>
                <w:sz w:val="18"/>
                <w:szCs w:val="18"/>
              </w:rPr>
              <w:t>15媒体联盟成立启动仪式完成情况。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84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C113.主题报告完成情况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4</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4</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考察2020中国融媒体发展论坛主题报告完成情况。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70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C114.主题演讲完成情况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4</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4</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考察2020中国融媒体发展论坛主题演讲完成情况。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52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C12.搭建全国主流媒体交流平台完成情况</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C121.圆桌论坛完成情况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考察2020中国融媒体发展论坛圆桌论坛完成情况。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7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C122.全国媒体直播完成情况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考察2020中国融媒体发展论坛全国媒体直播完成情况。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81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C13.县级融媒体技能培训完成情况</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C131.昆明市县级融媒体培训班完成情况</w:t>
            </w:r>
          </w:p>
        </w:tc>
        <w:tc>
          <w:tcPr>
            <w:tcW w:w="499"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考察2020中国融媒体发展论坛昆明市县级融媒体培训班完成情况。</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287" w:hRule="atLeast"/>
          <w:jc w:val="center"/>
        </w:trPr>
        <w:tc>
          <w:tcPr>
            <w:tcW w:w="84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C14.现场环节把控情况</w:t>
            </w:r>
          </w:p>
        </w:tc>
        <w:tc>
          <w:tcPr>
            <w:tcW w:w="1091"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C141.项目活动现场环节把控情况</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5</w:t>
            </w:r>
          </w:p>
        </w:tc>
        <w:tc>
          <w:tcPr>
            <w:tcW w:w="2104"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考察2020中国融媒体发展论坛活动现场环节把控情况。</w:t>
            </w:r>
          </w:p>
        </w:tc>
        <w:tc>
          <w:tcPr>
            <w:tcW w:w="1974"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616"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C2.项目效益（30%）（说明：该指标主要反映部门（单位）项目的实施效果。）</w:t>
            </w:r>
          </w:p>
        </w:tc>
        <w:tc>
          <w:tcPr>
            <w:tcW w:w="114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C21.社会效益</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C211.推动媒体融合进展</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15</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14</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考察2020中国融媒体发展论坛活动结束后对于推动媒体融合进展情况。</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491" w:hRule="atLeast"/>
          <w:jc w:val="center"/>
        </w:trPr>
        <w:tc>
          <w:tcPr>
            <w:tcW w:w="846"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70"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14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C22.生态效益</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C221.加强城市名片打造</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15</w:t>
            </w:r>
          </w:p>
        </w:tc>
        <w:tc>
          <w:tcPr>
            <w:tcW w:w="568"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14</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考察2020中国融媒体发展论坛活动结束后对于加强城市名片打造情况。</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全部完成，得满分；部分执行，扣权重的10%，扣完为止。</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540" w:hRule="atLeast"/>
          <w:jc w:val="center"/>
        </w:trPr>
        <w:tc>
          <w:tcPr>
            <w:tcW w:w="846"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合计</w:t>
            </w:r>
          </w:p>
        </w:tc>
        <w:tc>
          <w:tcPr>
            <w:tcW w:w="970"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100%</w:t>
            </w:r>
          </w:p>
        </w:tc>
        <w:tc>
          <w:tcPr>
            <w:tcW w:w="1143"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091"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100分</w:t>
            </w:r>
          </w:p>
        </w:tc>
        <w:tc>
          <w:tcPr>
            <w:tcW w:w="568"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98</w:t>
            </w:r>
          </w:p>
          <w:p>
            <w:pPr>
              <w:widowControl/>
              <w:spacing w:line="0" w:lineRule="atLeast"/>
              <w:jc w:val="left"/>
              <w:rPr>
                <w:b/>
                <w:bCs/>
                <w:color w:val="000000"/>
                <w:kern w:val="0"/>
                <w:sz w:val="18"/>
                <w:szCs w:val="18"/>
              </w:rPr>
            </w:pPr>
            <w:r>
              <w:rPr>
                <w:b/>
                <w:bCs/>
                <w:color w:val="000000"/>
                <w:kern w:val="0"/>
                <w:sz w:val="18"/>
                <w:szCs w:val="18"/>
              </w:rPr>
              <w:t>分</w:t>
            </w:r>
          </w:p>
        </w:tc>
        <w:tc>
          <w:tcPr>
            <w:tcW w:w="2104"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974"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spacing w:line="0" w:lineRule="atLeast"/>
              <w:jc w:val="left"/>
              <w:rPr>
                <w:b/>
                <w:bCs/>
                <w:color w:val="000000"/>
                <w:kern w:val="0"/>
                <w:sz w:val="18"/>
                <w:szCs w:val="18"/>
              </w:rPr>
            </w:pPr>
            <w:r>
              <w:rPr>
                <w:b/>
                <w:bCs/>
                <w:color w:val="000000"/>
                <w:kern w:val="0"/>
                <w:sz w:val="18"/>
                <w:szCs w:val="18"/>
              </w:rPr>
              <w:t>　</w:t>
            </w:r>
          </w:p>
        </w:tc>
      </w:tr>
    </w:tbl>
    <w:p>
      <w:pPr>
        <w:pStyle w:val="2"/>
        <w:spacing w:line="560" w:lineRule="exact"/>
        <w:rPr>
          <w:rFonts w:ascii="Times New Roman" w:hAnsi="Times New Roman" w:eastAsia="仿宋_GB2312"/>
          <w:b/>
          <w:bCs/>
          <w:sz w:val="32"/>
          <w:szCs w:val="32"/>
        </w:rPr>
      </w:pPr>
    </w:p>
    <w:p>
      <w:pPr>
        <w:pStyle w:val="2"/>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93A9F"/>
    <w:rsid w:val="2669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2021-08-23T08:38:00Z</dcterms:created>
  <dc:creator>ling</dc:creator>
  <cp:lastModifiedBy>ling</cp:lastModifiedBy>
  <dcterms:modified xsi:type="dcterms:W3CDTF">2021-08-23T08:39:06Z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A4C1AEDC7DB34A26894AFBA8C9087CD1</vt:lpwstr>
  </property>
</Properties>
</file>