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项目二十一</w:t>
      </w:r>
      <w:r>
        <w:rPr>
          <w:rFonts w:hint="eastAsia" w:ascii="方正小标宋简体" w:hAnsi="方正小标宋简体" w:eastAsia="方正小标宋简体" w:cs="方正小标宋简体"/>
          <w:b w:val="0"/>
          <w:bCs w:val="0"/>
          <w:sz w:val="32"/>
          <w:szCs w:val="32"/>
          <w:lang w:eastAsia="zh-CN"/>
        </w:rPr>
        <w:t>：</w:t>
      </w:r>
      <w:bookmarkStart w:id="0" w:name="_GoBack"/>
      <w:bookmarkEnd w:id="0"/>
    </w:p>
    <w:p>
      <w:pPr>
        <w:spacing w:line="56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昆明市融媒体中心建设项目部门项目支出绩效评分表</w:t>
      </w:r>
    </w:p>
    <w:p>
      <w:pPr>
        <w:pStyle w:val="2"/>
      </w:pPr>
    </w:p>
    <w:tbl>
      <w:tblPr>
        <w:tblStyle w:val="3"/>
        <w:tblW w:w="10412" w:type="dxa"/>
        <w:jc w:val="center"/>
        <w:tblLayout w:type="autofit"/>
        <w:tblCellMar>
          <w:top w:w="0" w:type="dxa"/>
          <w:left w:w="108" w:type="dxa"/>
          <w:bottom w:w="0" w:type="dxa"/>
          <w:right w:w="108" w:type="dxa"/>
        </w:tblCellMar>
      </w:tblPr>
      <w:tblGrid>
        <w:gridCol w:w="906"/>
        <w:gridCol w:w="1281"/>
        <w:gridCol w:w="822"/>
        <w:gridCol w:w="1085"/>
        <w:gridCol w:w="499"/>
        <w:gridCol w:w="566"/>
        <w:gridCol w:w="1990"/>
        <w:gridCol w:w="2052"/>
        <w:gridCol w:w="1211"/>
      </w:tblGrid>
      <w:tr>
        <w:tblPrEx>
          <w:tblCellMar>
            <w:top w:w="0" w:type="dxa"/>
            <w:left w:w="108" w:type="dxa"/>
            <w:bottom w:w="0" w:type="dxa"/>
            <w:right w:w="108" w:type="dxa"/>
          </w:tblCellMar>
        </w:tblPrEx>
        <w:trPr>
          <w:trHeight w:val="540"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一级</w:t>
            </w:r>
          </w:p>
          <w:p>
            <w:pPr>
              <w:widowControl/>
              <w:spacing w:line="0" w:lineRule="atLeast"/>
              <w:jc w:val="center"/>
              <w:rPr>
                <w:b/>
                <w:bCs/>
                <w:color w:val="000000"/>
                <w:kern w:val="0"/>
                <w:sz w:val="18"/>
                <w:szCs w:val="18"/>
              </w:rPr>
            </w:pPr>
            <w:r>
              <w:rPr>
                <w:b/>
                <w:bCs/>
                <w:color w:val="000000"/>
                <w:kern w:val="0"/>
                <w:sz w:val="18"/>
                <w:szCs w:val="18"/>
              </w:rPr>
              <w:t>指标</w:t>
            </w:r>
          </w:p>
        </w:tc>
        <w:tc>
          <w:tcPr>
            <w:tcW w:w="1281"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二级指标</w:t>
            </w:r>
          </w:p>
        </w:tc>
        <w:tc>
          <w:tcPr>
            <w:tcW w:w="822"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三级指标</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四级指标</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分值</w:t>
            </w:r>
          </w:p>
        </w:tc>
        <w:tc>
          <w:tcPr>
            <w:tcW w:w="566"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得分</w:t>
            </w:r>
          </w:p>
        </w:tc>
        <w:tc>
          <w:tcPr>
            <w:tcW w:w="199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指标解释</w:t>
            </w:r>
          </w:p>
        </w:tc>
        <w:tc>
          <w:tcPr>
            <w:tcW w:w="2052"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评分标准</w:t>
            </w:r>
          </w:p>
        </w:tc>
        <w:tc>
          <w:tcPr>
            <w:tcW w:w="1211"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数据来源</w:t>
            </w:r>
          </w:p>
        </w:tc>
      </w:tr>
      <w:tr>
        <w:tblPrEx>
          <w:tblCellMar>
            <w:top w:w="0" w:type="dxa"/>
            <w:left w:w="108" w:type="dxa"/>
            <w:bottom w:w="0" w:type="dxa"/>
            <w:right w:w="108" w:type="dxa"/>
          </w:tblCellMar>
        </w:tblPrEx>
        <w:trPr>
          <w:trHeight w:val="900" w:hRule="atLeast"/>
          <w:jc w:val="center"/>
        </w:trPr>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A.项目决策（20%）</w:t>
            </w:r>
          </w:p>
        </w:tc>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A1.项目立项（8%）</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A11.与部门中长期规划目标适应性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A111.与部门中长期规划目标匹配性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考察项目与部门中长期目标是否匹配</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匹配，得满分；不匹配，不得分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部门中长期规划目标</w:t>
            </w:r>
          </w:p>
        </w:tc>
      </w:tr>
      <w:tr>
        <w:tblPrEx>
          <w:tblCellMar>
            <w:top w:w="0" w:type="dxa"/>
            <w:left w:w="108" w:type="dxa"/>
            <w:bottom w:w="0" w:type="dxa"/>
            <w:right w:w="108" w:type="dxa"/>
          </w:tblCellMar>
        </w:tblPrEx>
        <w:trPr>
          <w:trHeight w:val="105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A12.立项依据充分性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A121.与市政府相关规划、决策匹配性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考察项目是否符合市政府相关发展规划和政府决策</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符合，得满分；不符合，不得分。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市政府相关规划、决策、批复</w:t>
            </w:r>
          </w:p>
        </w:tc>
      </w:tr>
      <w:tr>
        <w:tblPrEx>
          <w:tblCellMar>
            <w:top w:w="0" w:type="dxa"/>
            <w:left w:w="108" w:type="dxa"/>
            <w:bottom w:w="0" w:type="dxa"/>
            <w:right w:w="108" w:type="dxa"/>
          </w:tblCellMar>
        </w:tblPrEx>
        <w:trPr>
          <w:trHeight w:val="54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A122.与部门职责适应性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考察项目是否与部门职责密切相关。</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部门职责文件</w:t>
            </w:r>
          </w:p>
        </w:tc>
      </w:tr>
      <w:tr>
        <w:tblPrEx>
          <w:tblCellMar>
            <w:top w:w="0" w:type="dxa"/>
            <w:left w:w="108" w:type="dxa"/>
            <w:bottom w:w="0" w:type="dxa"/>
            <w:right w:w="108" w:type="dxa"/>
          </w:tblCellMar>
        </w:tblPrEx>
        <w:trPr>
          <w:trHeight w:val="54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A13.项目立项规范性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A131.前期调研情况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考察项目立项是否经过前期调研。</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调研报告</w:t>
            </w:r>
          </w:p>
        </w:tc>
      </w:tr>
      <w:tr>
        <w:tblPrEx>
          <w:tblCellMar>
            <w:top w:w="0" w:type="dxa"/>
            <w:left w:w="108" w:type="dxa"/>
            <w:bottom w:w="0" w:type="dxa"/>
            <w:right w:w="108" w:type="dxa"/>
          </w:tblCellMar>
        </w:tblPrEx>
        <w:trPr>
          <w:trHeight w:val="54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A132.立项程序规范性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考察项目的申请、设立过程是否符合相关要求。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立项申请、批复文件</w:t>
            </w:r>
          </w:p>
        </w:tc>
      </w:tr>
      <w:tr>
        <w:tblPrEx>
          <w:tblCellMar>
            <w:top w:w="0" w:type="dxa"/>
            <w:left w:w="108" w:type="dxa"/>
            <w:bottom w:w="0" w:type="dxa"/>
            <w:right w:w="108" w:type="dxa"/>
          </w:tblCellMar>
        </w:tblPrEx>
        <w:trPr>
          <w:trHeight w:val="915"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A2.项目目标（12%）</w:t>
            </w: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A21.绩效目标设定的合理性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A211.绩效目标相关性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考察设定的绩效目标是否与事业发展规划相关。</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绩效目标申报表、部门规划、年度工作目标</w:t>
            </w:r>
          </w:p>
        </w:tc>
      </w:tr>
      <w:tr>
        <w:tblPrEx>
          <w:tblCellMar>
            <w:top w:w="0" w:type="dxa"/>
            <w:left w:w="108" w:type="dxa"/>
            <w:bottom w:w="0" w:type="dxa"/>
            <w:right w:w="108" w:type="dxa"/>
          </w:tblCellMar>
        </w:tblPrEx>
        <w:trPr>
          <w:trHeight w:val="108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A212.绩效目标完整性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考察设定的绩效目标是否完整地反应预期产出和效果</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绩效目标申报表、年度工作目标、立项申请、批复文件</w:t>
            </w:r>
          </w:p>
        </w:tc>
      </w:tr>
      <w:tr>
        <w:tblPrEx>
          <w:tblCellMar>
            <w:top w:w="0" w:type="dxa"/>
            <w:left w:w="108" w:type="dxa"/>
            <w:bottom w:w="0" w:type="dxa"/>
            <w:right w:w="108" w:type="dxa"/>
          </w:tblCellMar>
        </w:tblPrEx>
        <w:trPr>
          <w:trHeight w:val="825"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A213.目标与预算的匹配性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考察设定的绩效目标是否与年度预算相匹配。</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CellMar>
            <w:top w:w="0" w:type="dxa"/>
            <w:left w:w="108" w:type="dxa"/>
            <w:bottom w:w="0" w:type="dxa"/>
            <w:right w:w="108" w:type="dxa"/>
          </w:tblCellMar>
        </w:tblPrEx>
        <w:trPr>
          <w:trHeight w:val="795"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A22.绩效指标设定的明确性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A221.指标细化分解情况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考察是否将绩效目标细化分解为清晰、可衡量的绩效指标。</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CellMar>
            <w:top w:w="0" w:type="dxa"/>
            <w:left w:w="108" w:type="dxa"/>
            <w:bottom w:w="0" w:type="dxa"/>
            <w:right w:w="108" w:type="dxa"/>
          </w:tblCellMar>
        </w:tblPrEx>
        <w:trPr>
          <w:trHeight w:val="885"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A222.指标与目标的匹配性</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6"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1990"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考察设定的绩效指标是否与年度工作任务相对应。</w:t>
            </w:r>
          </w:p>
        </w:tc>
        <w:tc>
          <w:tcPr>
            <w:tcW w:w="2052"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绩效目标申报表、年度工作任务</w:t>
            </w:r>
          </w:p>
        </w:tc>
      </w:tr>
      <w:tr>
        <w:tblPrEx>
          <w:tblCellMar>
            <w:top w:w="0" w:type="dxa"/>
            <w:left w:w="108" w:type="dxa"/>
            <w:bottom w:w="0" w:type="dxa"/>
            <w:right w:w="108" w:type="dxa"/>
          </w:tblCellMar>
        </w:tblPrEx>
        <w:trPr>
          <w:trHeight w:val="720" w:hRule="atLeast"/>
          <w:jc w:val="center"/>
        </w:trPr>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B.项目管理（20%）</w:t>
            </w:r>
          </w:p>
        </w:tc>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B1.投入管理（4%）</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B11.预算编制合理性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考察预算编制是否充分、合理的预计项目支出并完整反应</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合理得满分；存在一项不合理，扣0.5分，扣完为止</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预算分析、预算批复</w:t>
            </w:r>
          </w:p>
        </w:tc>
      </w:tr>
      <w:tr>
        <w:tblPrEx>
          <w:tblCellMar>
            <w:top w:w="0" w:type="dxa"/>
            <w:left w:w="108" w:type="dxa"/>
            <w:bottom w:w="0" w:type="dxa"/>
            <w:right w:w="108" w:type="dxa"/>
          </w:tblCellMar>
        </w:tblPrEx>
        <w:trPr>
          <w:trHeight w:val="81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B12.预算调整规范性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考察存在预算调整时是否按照相关规定执行调整程序。</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规范，得满分；部分规范，扣0.5分；不规范，不得分。</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预算调整文件</w:t>
            </w:r>
          </w:p>
        </w:tc>
      </w:tr>
      <w:tr>
        <w:tblPrEx>
          <w:tblCellMar>
            <w:top w:w="0" w:type="dxa"/>
            <w:left w:w="108" w:type="dxa"/>
            <w:bottom w:w="0" w:type="dxa"/>
            <w:right w:w="108" w:type="dxa"/>
          </w:tblCellMar>
        </w:tblPrEx>
        <w:trPr>
          <w:trHeight w:val="123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B13.预算执行率</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考察项目预算执行的进度。预算执行率=实际支出金额/项目预算金额×100%</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预算执行率95%以上，得满分；低于95%，每下降1%扣权重的1%；预算执行率60%以下，不计分。</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CellMar>
            <w:top w:w="0" w:type="dxa"/>
            <w:left w:w="108" w:type="dxa"/>
            <w:bottom w:w="0" w:type="dxa"/>
            <w:right w:w="108" w:type="dxa"/>
          </w:tblCellMar>
        </w:tblPrEx>
        <w:trPr>
          <w:trHeight w:val="975"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B2.财务管理（6%）</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B21.资金使用情况</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考察项目资金使用是否符合预算批复的用途，是否存在截留、挤占、挪用、虚列支出等情况。</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合规，得满分；存在一项不合规，扣1分，扣完为止。</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CellMar>
            <w:top w:w="0" w:type="dxa"/>
            <w:left w:w="108" w:type="dxa"/>
            <w:bottom w:w="0" w:type="dxa"/>
            <w:right w:w="108" w:type="dxa"/>
          </w:tblCellMar>
        </w:tblPrEx>
        <w:trPr>
          <w:trHeight w:val="228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B22.财务管理制度健全性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考察项目的财务制度是否健全、完善、有效。</w:t>
            </w:r>
          </w:p>
        </w:tc>
        <w:tc>
          <w:tcPr>
            <w:tcW w:w="2052" w:type="dxa"/>
            <w:tcBorders>
              <w:top w:val="nil"/>
              <w:left w:val="nil"/>
              <w:bottom w:val="single" w:color="auto" w:sz="4" w:space="0"/>
              <w:right w:val="single" w:color="auto" w:sz="4" w:space="0"/>
            </w:tcBorders>
            <w:noWrap w:val="0"/>
            <w:vAlign w:val="top"/>
          </w:tcPr>
          <w:p>
            <w:pPr>
              <w:widowControl/>
              <w:spacing w:line="0" w:lineRule="atLeast"/>
              <w:jc w:val="left"/>
              <w:rPr>
                <w:color w:val="000000"/>
                <w:kern w:val="0"/>
                <w:sz w:val="18"/>
                <w:szCs w:val="18"/>
              </w:rPr>
            </w:pPr>
            <w:r>
              <w:rPr>
                <w:color w:val="000000"/>
                <w:kern w:val="0"/>
                <w:sz w:val="18"/>
                <w:szCs w:val="18"/>
              </w:rPr>
              <w:t>a.是否已制定或具有相应的财务管理办法；                         b.项目财务管理办法是否符合相关财务会计制度的规定；                                              c.是否存在需要完善的风险控制环节。                            符合所有条件，得满分； 一项不符合，扣0.5分，扣完为止。</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财务管理制度</w:t>
            </w:r>
          </w:p>
        </w:tc>
      </w:tr>
      <w:tr>
        <w:tblPrEx>
          <w:tblCellMar>
            <w:top w:w="0" w:type="dxa"/>
            <w:left w:w="108" w:type="dxa"/>
            <w:bottom w:w="0" w:type="dxa"/>
            <w:right w:w="108" w:type="dxa"/>
          </w:tblCellMar>
        </w:tblPrEx>
        <w:trPr>
          <w:trHeight w:val="75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B23.财务监控有效性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B231.资金拨付程序完整性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考察资金拨付是否具有完整的审批程序和手续，是否符合相关制度规定。</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资金拨付申请、审批手续完整，得满分；存在一例手续不完整，不得分。</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支付申请单、支付指令</w:t>
            </w:r>
          </w:p>
        </w:tc>
      </w:tr>
      <w:tr>
        <w:tblPrEx>
          <w:tblCellMar>
            <w:top w:w="0" w:type="dxa"/>
            <w:left w:w="108" w:type="dxa"/>
            <w:bottom w:w="0" w:type="dxa"/>
            <w:right w:w="108" w:type="dxa"/>
          </w:tblCellMar>
        </w:tblPrEx>
        <w:trPr>
          <w:trHeight w:val="75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B232财务制度执行有效性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考察是否存在违反相关财务管理制度的情况。</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不存在，得满分；存在1例，不得分。</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财务管理制度、访谈、会计凭证</w:t>
            </w:r>
          </w:p>
        </w:tc>
      </w:tr>
      <w:tr>
        <w:tblPrEx>
          <w:tblCellMar>
            <w:top w:w="0" w:type="dxa"/>
            <w:left w:w="108" w:type="dxa"/>
            <w:bottom w:w="0" w:type="dxa"/>
            <w:right w:w="108" w:type="dxa"/>
          </w:tblCellMar>
        </w:tblPrEx>
        <w:trPr>
          <w:trHeight w:val="120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B3.项目实施（10%）</w:t>
            </w: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B31.项目管理制度健全性</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B311.项目实施单位管理制度健全性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项目实施单位为保障项目顺利实施制订的与项目直接相关的业务管理制度是否健全、完善和有效。</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制订相关制度或采取措施，得满分；制度不完善或者措施不明确，得权重的60%；没有相关制度或措施，不得分。</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项目实施单位管理制度、访谈、现场调查</w:t>
            </w:r>
          </w:p>
        </w:tc>
      </w:tr>
      <w:tr>
        <w:tblPrEx>
          <w:tblCellMar>
            <w:top w:w="0" w:type="dxa"/>
            <w:left w:w="108" w:type="dxa"/>
            <w:bottom w:w="0" w:type="dxa"/>
            <w:right w:w="108" w:type="dxa"/>
          </w:tblCellMar>
        </w:tblPrEx>
        <w:trPr>
          <w:trHeight w:val="975"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B312.管理方监管措施健全性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考察项目主管部门为保障项目顺利实施采取的监管措施是否明确，是否存在需要完善的风险控制环节。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监管措施明确、完善，得满分；每存在一项需要完善的风险控制点，扣权重的30%，扣完为止。</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管理制度、访谈、现场调查</w:t>
            </w:r>
          </w:p>
        </w:tc>
      </w:tr>
      <w:tr>
        <w:tblPrEx>
          <w:tblCellMar>
            <w:top w:w="0" w:type="dxa"/>
            <w:left w:w="108" w:type="dxa"/>
            <w:bottom w:w="0" w:type="dxa"/>
            <w:right w:w="108" w:type="dxa"/>
          </w:tblCellMar>
        </w:tblPrEx>
        <w:trPr>
          <w:trHeight w:val="885" w:hRule="atLeast"/>
          <w:jc w:val="center"/>
        </w:trPr>
        <w:tc>
          <w:tcPr>
            <w:tcW w:w="9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B32.项目管理制度执行有效性</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B321.项目实施单位管理制度执行情况</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考察项目实施单位制订的管理制度是否有效执行。</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项目实施单位管理制度、现场调查</w:t>
            </w:r>
          </w:p>
        </w:tc>
      </w:tr>
      <w:tr>
        <w:tblPrEx>
          <w:tblCellMar>
            <w:top w:w="0" w:type="dxa"/>
            <w:left w:w="108" w:type="dxa"/>
            <w:bottom w:w="0" w:type="dxa"/>
            <w:right w:w="108" w:type="dxa"/>
          </w:tblCellMar>
        </w:tblPrEx>
        <w:trPr>
          <w:trHeight w:val="945"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B322.监管措施执行情况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项目主管部门所制订的监管措施是否有效执行。</w:t>
            </w:r>
          </w:p>
        </w:tc>
        <w:tc>
          <w:tcPr>
            <w:tcW w:w="2052"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21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管理制度、现场调查</w:t>
            </w:r>
          </w:p>
        </w:tc>
      </w:tr>
      <w:tr>
        <w:tblPrEx>
          <w:tblCellMar>
            <w:top w:w="0" w:type="dxa"/>
            <w:left w:w="108" w:type="dxa"/>
            <w:bottom w:w="0" w:type="dxa"/>
            <w:right w:w="108" w:type="dxa"/>
          </w:tblCellMar>
        </w:tblPrEx>
        <w:trPr>
          <w:trHeight w:val="885"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B323.合同执行情况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考察与项目相关的合同是否有效执行。</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合同、现场调查</w:t>
            </w:r>
          </w:p>
        </w:tc>
      </w:tr>
      <w:tr>
        <w:tblPrEx>
          <w:tblCellMar>
            <w:top w:w="0" w:type="dxa"/>
            <w:left w:w="108" w:type="dxa"/>
            <w:bottom w:w="0" w:type="dxa"/>
            <w:right w:w="108" w:type="dxa"/>
          </w:tblCellMar>
        </w:tblPrEx>
        <w:trPr>
          <w:trHeight w:val="780" w:hRule="atLeast"/>
          <w:jc w:val="center"/>
        </w:trPr>
        <w:tc>
          <w:tcPr>
            <w:tcW w:w="906"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B324.台账记录规范性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1990"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考察项目实施过程中的相关台账记录是否完整，并符合要求。</w:t>
            </w:r>
          </w:p>
        </w:tc>
        <w:tc>
          <w:tcPr>
            <w:tcW w:w="205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规范，得满分；部分规范，得权重的60%；不规范，不得分。</w:t>
            </w:r>
          </w:p>
        </w:tc>
        <w:tc>
          <w:tcPr>
            <w:tcW w:w="121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1200" w:hRule="atLeast"/>
          <w:jc w:val="center"/>
        </w:trPr>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C.项目绩效（60%）</w:t>
            </w:r>
          </w:p>
        </w:tc>
        <w:tc>
          <w:tcPr>
            <w:tcW w:w="12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C1.数量指标、社会效益指标、可持续影响指标、服务对象满意度指标（说明：昆明市辖区全部 17个县（市）区和开发（度假）园区融媒体中心管理系统均建成并投入使用。坚持正确舆论导向，围绕中心、服务大局，贴近群众、引导群众、服务群众。围绕中心、服务大局，党报的新闻宣传工作传播力引导力影响力公信力不断提高。建成县区满意度不低于90%，群众的满意度不低于80%。）</w:t>
            </w: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C11.数量指标</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C111.全部建成</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10</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10</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考察昆明市辖区全部 17个县（市）区和开发（度假）园区融媒体中心管理系统均建成</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全部建成得满分；少建成一家扣0.6分；直至扣完为止。</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昆明市17个县（市）区建成、运行情况报告。</w:t>
            </w:r>
          </w:p>
        </w:tc>
      </w:tr>
      <w:tr>
        <w:tblPrEx>
          <w:tblCellMar>
            <w:top w:w="0" w:type="dxa"/>
            <w:left w:w="108" w:type="dxa"/>
            <w:bottom w:w="0" w:type="dxa"/>
            <w:right w:w="108" w:type="dxa"/>
          </w:tblCellMar>
        </w:tblPrEx>
        <w:trPr>
          <w:trHeight w:val="825"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C112.上线使用</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8</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8</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考察昆明市辖区全部 17个县（市）区和开发（度假）园区融媒体中心管理系统均投入使用</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全部建成并入驻使用则得满分；少一家扣0.5分；直至扣完为止。</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昆明市17个县（市）区建成、运行情况报告。</w:t>
            </w:r>
          </w:p>
        </w:tc>
      </w:tr>
      <w:tr>
        <w:tblPrEx>
          <w:tblCellMar>
            <w:top w:w="0" w:type="dxa"/>
            <w:left w:w="108" w:type="dxa"/>
            <w:bottom w:w="0" w:type="dxa"/>
            <w:right w:w="108" w:type="dxa"/>
          </w:tblCellMar>
        </w:tblPrEx>
        <w:trPr>
          <w:trHeight w:val="123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C12.社会效益指标</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C121社会效益指标</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11</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坚持正确舆论导向，围绕中心、服务大局，贴近群众、引导群众、服务群众。</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达成情况与指标要求一致，得满分；</w:t>
            </w:r>
          </w:p>
          <w:p>
            <w:pPr>
              <w:widowControl/>
              <w:spacing w:line="0" w:lineRule="atLeast"/>
              <w:jc w:val="left"/>
              <w:rPr>
                <w:color w:val="000000"/>
                <w:kern w:val="0"/>
                <w:sz w:val="18"/>
                <w:szCs w:val="18"/>
              </w:rPr>
            </w:pPr>
            <w:r>
              <w:rPr>
                <w:color w:val="000000"/>
                <w:kern w:val="0"/>
                <w:sz w:val="18"/>
                <w:szCs w:val="18"/>
              </w:rPr>
              <w:t>达成情况与指标稍有偏差，扣5%分；按偏差程度直至扣完为止。</w:t>
            </w:r>
          </w:p>
          <w:p>
            <w:pPr>
              <w:widowControl/>
              <w:spacing w:line="0" w:lineRule="atLeast"/>
              <w:jc w:val="left"/>
              <w:rPr>
                <w:color w:val="000000"/>
                <w:kern w:val="0"/>
                <w:sz w:val="18"/>
                <w:szCs w:val="1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昆明市17个县（市）区建成、运行情况报告。</w:t>
            </w:r>
            <w:r>
              <w:rPr>
                <w:rFonts w:eastAsia="仿宋_GB2312"/>
                <w:sz w:val="28"/>
                <w:szCs w:val="28"/>
              </w:rPr>
              <w:t xml:space="preserve"> </w:t>
            </w:r>
          </w:p>
        </w:tc>
      </w:tr>
      <w:tr>
        <w:tblPrEx>
          <w:tblCellMar>
            <w:top w:w="0" w:type="dxa"/>
            <w:left w:w="108" w:type="dxa"/>
            <w:bottom w:w="0" w:type="dxa"/>
            <w:right w:w="108" w:type="dxa"/>
          </w:tblCellMar>
        </w:tblPrEx>
        <w:trPr>
          <w:trHeight w:val="81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C13.可持续影响指标</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C131.可持续影响指标</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12</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11</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围绕中心、服务大局，党报的新闻宣传工作传播力引导力影响力公信力不断提高。</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达成情况与指标要求一致，得满分；</w:t>
            </w:r>
          </w:p>
          <w:p>
            <w:pPr>
              <w:widowControl/>
              <w:spacing w:line="0" w:lineRule="atLeast"/>
              <w:jc w:val="left"/>
              <w:rPr>
                <w:color w:val="000000"/>
                <w:kern w:val="0"/>
                <w:sz w:val="18"/>
                <w:szCs w:val="18"/>
              </w:rPr>
            </w:pPr>
            <w:r>
              <w:rPr>
                <w:color w:val="000000"/>
                <w:kern w:val="0"/>
                <w:sz w:val="18"/>
                <w:szCs w:val="18"/>
              </w:rPr>
              <w:t>达成情况与指标稍有偏差，扣5%；按偏差程度直至扣完为止。</w:t>
            </w:r>
          </w:p>
          <w:p>
            <w:pPr>
              <w:widowControl/>
              <w:spacing w:line="0" w:lineRule="atLeast"/>
              <w:jc w:val="left"/>
              <w:rPr>
                <w:color w:val="000000"/>
                <w:kern w:val="0"/>
                <w:sz w:val="18"/>
                <w:szCs w:val="1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昆明市17个县（市）区建成、运行情况报告。</w:t>
            </w:r>
            <w:r>
              <w:rPr>
                <w:rFonts w:eastAsia="仿宋_GB2312"/>
                <w:sz w:val="28"/>
                <w:szCs w:val="28"/>
              </w:rPr>
              <w:t xml:space="preserve"> </w:t>
            </w:r>
          </w:p>
        </w:tc>
      </w:tr>
      <w:tr>
        <w:tblPrEx>
          <w:tblCellMar>
            <w:top w:w="0" w:type="dxa"/>
            <w:left w:w="108" w:type="dxa"/>
            <w:bottom w:w="0" w:type="dxa"/>
            <w:right w:w="108" w:type="dxa"/>
          </w:tblCellMar>
        </w:tblPrEx>
        <w:trPr>
          <w:trHeight w:val="123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p>
            <w:pPr>
              <w:widowControl/>
              <w:spacing w:line="0" w:lineRule="atLeast"/>
              <w:jc w:val="left"/>
              <w:rPr>
                <w:color w:val="000000"/>
                <w:kern w:val="0"/>
                <w:sz w:val="18"/>
                <w:szCs w:val="18"/>
              </w:rPr>
            </w:pPr>
            <w:r>
              <w:rPr>
                <w:color w:val="000000"/>
                <w:kern w:val="0"/>
                <w:sz w:val="18"/>
                <w:szCs w:val="18"/>
              </w:rPr>
              <w:t>C14.服务对象满意度指标</w:t>
            </w:r>
          </w:p>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C141.县区满意度指标</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8</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8</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建成县区满意度不低于90%</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达成情况高于等于90%，得满分；</w:t>
            </w:r>
          </w:p>
          <w:p>
            <w:pPr>
              <w:widowControl/>
              <w:spacing w:line="0" w:lineRule="atLeast"/>
              <w:jc w:val="left"/>
              <w:rPr>
                <w:color w:val="000000"/>
                <w:kern w:val="0"/>
                <w:sz w:val="18"/>
                <w:szCs w:val="18"/>
              </w:rPr>
            </w:pPr>
            <w:r>
              <w:rPr>
                <w:color w:val="000000"/>
                <w:kern w:val="0"/>
                <w:sz w:val="18"/>
                <w:szCs w:val="18"/>
              </w:rPr>
              <w:t>达成情况低于90%，按比例扣分直至扣完为止。</w:t>
            </w:r>
          </w:p>
          <w:p>
            <w:pPr>
              <w:widowControl/>
              <w:spacing w:line="0" w:lineRule="atLeast"/>
              <w:jc w:val="left"/>
              <w:rPr>
                <w:color w:val="000000"/>
                <w:kern w:val="0"/>
                <w:sz w:val="18"/>
                <w:szCs w:val="1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rFonts w:eastAsia="仿宋_GB2312"/>
                <w:sz w:val="28"/>
                <w:szCs w:val="28"/>
              </w:rPr>
              <w:t>《</w:t>
            </w:r>
            <w:r>
              <w:rPr>
                <w:color w:val="000000"/>
                <w:kern w:val="0"/>
                <w:sz w:val="18"/>
                <w:szCs w:val="18"/>
              </w:rPr>
              <w:t>昆明报业传媒集团建设昆明市县级融媒体中心工作情况报告》</w:t>
            </w:r>
          </w:p>
        </w:tc>
      </w:tr>
      <w:tr>
        <w:tblPrEx>
          <w:tblCellMar>
            <w:top w:w="0" w:type="dxa"/>
            <w:left w:w="108" w:type="dxa"/>
            <w:bottom w:w="0" w:type="dxa"/>
            <w:right w:w="108" w:type="dxa"/>
          </w:tblCellMar>
        </w:tblPrEx>
        <w:trPr>
          <w:trHeight w:val="986" w:hRule="atLeast"/>
          <w:jc w:val="center"/>
        </w:trPr>
        <w:tc>
          <w:tcPr>
            <w:tcW w:w="9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C142.群众满意度指标</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10</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10</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群众的满意度不低于80%</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达成情况高于等于80%，得满分；</w:t>
            </w:r>
          </w:p>
          <w:p>
            <w:pPr>
              <w:widowControl/>
              <w:spacing w:line="0" w:lineRule="atLeast"/>
              <w:jc w:val="left"/>
              <w:rPr>
                <w:color w:val="000000"/>
                <w:kern w:val="0"/>
                <w:sz w:val="18"/>
                <w:szCs w:val="18"/>
              </w:rPr>
            </w:pPr>
            <w:r>
              <w:rPr>
                <w:color w:val="000000"/>
                <w:kern w:val="0"/>
                <w:sz w:val="18"/>
                <w:szCs w:val="18"/>
              </w:rPr>
              <w:t>达成情况低于90%，按比例扣分直至扣完为止。</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《昆明报业传媒集团建设昆明市县级融媒体中心工作情况报告》</w:t>
            </w:r>
          </w:p>
        </w:tc>
      </w:tr>
      <w:tr>
        <w:tblPrEx>
          <w:tblCellMar>
            <w:top w:w="0" w:type="dxa"/>
            <w:left w:w="108" w:type="dxa"/>
            <w:bottom w:w="0" w:type="dxa"/>
            <w:right w:w="108" w:type="dxa"/>
          </w:tblCellMar>
        </w:tblPrEx>
        <w:trPr>
          <w:trHeight w:val="540" w:hRule="atLeast"/>
          <w:jc w:val="center"/>
        </w:trPr>
        <w:tc>
          <w:tcPr>
            <w:tcW w:w="906"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合计</w:t>
            </w:r>
          </w:p>
        </w:tc>
        <w:tc>
          <w:tcPr>
            <w:tcW w:w="128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100%</w:t>
            </w:r>
          </w:p>
        </w:tc>
        <w:tc>
          <w:tcPr>
            <w:tcW w:w="822"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100分</w:t>
            </w:r>
          </w:p>
        </w:tc>
        <w:tc>
          <w:tcPr>
            <w:tcW w:w="566"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98</w:t>
            </w:r>
          </w:p>
        </w:tc>
        <w:tc>
          <w:tcPr>
            <w:tcW w:w="1990"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2052"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21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97863"/>
    <w:rsid w:val="5F69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2021-08-23T08:35:00Z</dcterms:created>
  <dc:creator>Jo</dc:creator>
  <cp:lastModifiedBy>Jo</cp:lastModifiedBy>
  <dcterms:modified xsi:type="dcterms:W3CDTF">2021-08-23T08:35:57Z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C689E888057A4FEA8DF76E9DD6EA3DAE</vt:lpwstr>
  </property>
</Properties>
</file>